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8" w:type="dxa"/>
        <w:jc w:val="center"/>
        <w:tblCellSpacing w:w="0" w:type="dxa"/>
        <w:shd w:val="clear" w:color="auto" w:fill="FFFFFF"/>
        <w:tblCellMar>
          <w:left w:w="0" w:type="dxa"/>
          <w:right w:w="0" w:type="dxa"/>
        </w:tblCellMar>
        <w:tblLook w:val="04A0"/>
      </w:tblPr>
      <w:tblGrid>
        <w:gridCol w:w="90"/>
        <w:gridCol w:w="9268"/>
      </w:tblGrid>
      <w:tr w:rsidR="006465A6" w:rsidTr="006465A6">
        <w:trPr>
          <w:tblCellSpacing w:w="0" w:type="dxa"/>
          <w:jc w:val="center"/>
        </w:trPr>
        <w:tc>
          <w:tcPr>
            <w:tcW w:w="90" w:type="dxa"/>
            <w:shd w:val="clear" w:color="auto" w:fill="FFFFFF"/>
            <w:vAlign w:val="center"/>
            <w:hideMark/>
          </w:tcPr>
          <w:p w:rsidR="006465A6" w:rsidRDefault="006465A6">
            <w:pPr>
              <w:rPr>
                <w:rFonts w:asciiTheme="minorHAnsi" w:eastAsiaTheme="minorEastAsia" w:hAnsiTheme="minorHAnsi" w:cstheme="minorBidi"/>
                <w:sz w:val="22"/>
                <w:szCs w:val="22"/>
              </w:rPr>
            </w:pPr>
          </w:p>
        </w:tc>
        <w:tc>
          <w:tcPr>
            <w:tcW w:w="9268" w:type="dxa"/>
            <w:shd w:val="clear" w:color="auto" w:fill="FFFFFF"/>
            <w:vAlign w:val="center"/>
            <w:hideMark/>
          </w:tcPr>
          <w:p w:rsidR="006465A6" w:rsidRDefault="006465A6" w:rsidP="006465A6">
            <w:pPr>
              <w:pStyle w:val="Normaalweb"/>
              <w:jc w:val="center"/>
              <w:rPr>
                <w:rStyle w:val="Zwaar"/>
                <w:sz w:val="20"/>
                <w:szCs w:val="20"/>
              </w:rPr>
            </w:pPr>
            <w:bookmarkStart w:id="0" w:name="7879"/>
            <w:bookmarkEnd w:id="0"/>
            <w:r w:rsidRPr="006465A6">
              <w:rPr>
                <w:rStyle w:val="Zwaar"/>
                <w:sz w:val="20"/>
                <w:szCs w:val="20"/>
              </w:rPr>
              <w:drawing>
                <wp:inline distT="0" distB="0" distL="0" distR="0">
                  <wp:extent cx="2420620" cy="1365184"/>
                  <wp:effectExtent l="19050" t="0" r="0" b="0"/>
                  <wp:docPr id="1" name="Afbeelding 1" descr="vinoberginna.jpg"/>
                  <wp:cNvGraphicFramePr/>
                  <a:graphic xmlns:a="http://schemas.openxmlformats.org/drawingml/2006/main">
                    <a:graphicData uri="http://schemas.openxmlformats.org/drawingml/2006/picture">
                      <pic:pic xmlns:pic="http://schemas.openxmlformats.org/drawingml/2006/picture">
                        <pic:nvPicPr>
                          <pic:cNvPr id="4" name="Afbeelding 3" descr="vinoberginna.jpg"/>
                          <pic:cNvPicPr>
                            <a:picLocks noChangeAspect="1"/>
                          </pic:cNvPicPr>
                        </pic:nvPicPr>
                        <pic:blipFill>
                          <a:blip r:embed="rId4" cstate="print"/>
                          <a:stretch>
                            <a:fillRect/>
                          </a:stretch>
                        </pic:blipFill>
                        <pic:spPr>
                          <a:xfrm>
                            <a:off x="0" y="0"/>
                            <a:ext cx="2420620" cy="1365184"/>
                          </a:xfrm>
                          <a:prstGeom prst="rect">
                            <a:avLst/>
                          </a:prstGeom>
                        </pic:spPr>
                      </pic:pic>
                    </a:graphicData>
                  </a:graphic>
                </wp:inline>
              </w:drawing>
            </w:r>
          </w:p>
          <w:p w:rsidR="006465A6" w:rsidRPr="006465A6" w:rsidRDefault="006465A6" w:rsidP="006465A6">
            <w:pPr>
              <w:pStyle w:val="Normaalweb"/>
              <w:rPr>
                <w:rStyle w:val="Zwaar"/>
                <w:rFonts w:ascii="CommercialScriptTwo" w:hAnsi="CommercialScriptTwo"/>
                <w:sz w:val="36"/>
                <w:szCs w:val="36"/>
              </w:rPr>
            </w:pPr>
            <w:r w:rsidRPr="006465A6">
              <w:rPr>
                <w:rStyle w:val="Zwaar"/>
                <w:rFonts w:ascii="CommercialScriptTwo" w:hAnsi="CommercialScriptTwo"/>
                <w:sz w:val="36"/>
                <w:szCs w:val="36"/>
              </w:rPr>
              <w:t>Nieuwsbrief 21 januari 2011: oogstverslagen</w:t>
            </w:r>
          </w:p>
          <w:p w:rsidR="006465A6" w:rsidRDefault="006465A6">
            <w:pPr>
              <w:pStyle w:val="Normaalweb"/>
              <w:rPr>
                <w:sz w:val="20"/>
                <w:szCs w:val="20"/>
              </w:rPr>
            </w:pPr>
            <w:r>
              <w:rPr>
                <w:rStyle w:val="Zwaar"/>
                <w:sz w:val="20"/>
                <w:szCs w:val="20"/>
              </w:rPr>
              <w:t>Europa - Allergiewaarschuwing op etiket?</w:t>
            </w:r>
            <w:r>
              <w:rPr>
                <w:b/>
                <w:bCs/>
                <w:sz w:val="20"/>
                <w:szCs w:val="20"/>
              </w:rPr>
              <w:br/>
            </w:r>
            <w:r>
              <w:rPr>
                <w:sz w:val="20"/>
                <w:szCs w:val="20"/>
              </w:rPr>
              <w:t xml:space="preserve">De Europese Commissie heeft gevraagd om nieuwe rapportage met het oog op eventuele verplichte vermelding van </w:t>
            </w:r>
            <w:proofErr w:type="spellStart"/>
            <w:r>
              <w:rPr>
                <w:sz w:val="20"/>
                <w:szCs w:val="20"/>
              </w:rPr>
              <w:t>allergene</w:t>
            </w:r>
            <w:proofErr w:type="spellEnd"/>
            <w:r>
              <w:rPr>
                <w:sz w:val="20"/>
                <w:szCs w:val="20"/>
              </w:rPr>
              <w:t xml:space="preserve"> stoffen als caseïne en albumine op wijnetiketten. Deze verplichting zou op 30 juni 2012 van kracht moeten gaan. Volgens studies onder auspiciën van de OIV zouden de genoemde stoffen bij normaal gebruik voor klaring echter slechts minieme sporen in de wijn achterlaten. Het Europees agentschap voor voedselveiligheid moet de resultaten van deze studies nu onderzoeken en goedkeuren.</w:t>
            </w:r>
          </w:p>
          <w:p w:rsidR="006465A6" w:rsidRDefault="006465A6" w:rsidP="006465A6">
            <w:pPr>
              <w:pStyle w:val="Normaalweb"/>
            </w:pPr>
            <w:r>
              <w:rPr>
                <w:rStyle w:val="Zwaar"/>
                <w:sz w:val="20"/>
                <w:szCs w:val="20"/>
              </w:rPr>
              <w:t xml:space="preserve">Frankrijk - </w:t>
            </w:r>
            <w:proofErr w:type="spellStart"/>
            <w:r>
              <w:rPr>
                <w:rStyle w:val="Zwaar"/>
                <w:sz w:val="20"/>
                <w:szCs w:val="20"/>
              </w:rPr>
              <w:t>Languedoc</w:t>
            </w:r>
            <w:proofErr w:type="spellEnd"/>
            <w:r>
              <w:rPr>
                <w:rStyle w:val="Zwaar"/>
                <w:sz w:val="20"/>
                <w:szCs w:val="20"/>
              </w:rPr>
              <w:t xml:space="preserve"> zoekt </w:t>
            </w:r>
            <w:proofErr w:type="spellStart"/>
            <w:r>
              <w:rPr>
                <w:rStyle w:val="Zwaar"/>
                <w:sz w:val="20"/>
                <w:szCs w:val="20"/>
              </w:rPr>
              <w:t>cinsault</w:t>
            </w:r>
            <w:proofErr w:type="spellEnd"/>
            <w:r>
              <w:rPr>
                <w:rStyle w:val="Zwaar"/>
                <w:sz w:val="20"/>
                <w:szCs w:val="20"/>
              </w:rPr>
              <w:t xml:space="preserve"> </w:t>
            </w:r>
            <w:r>
              <w:rPr>
                <w:b/>
                <w:bCs/>
                <w:sz w:val="20"/>
                <w:szCs w:val="20"/>
              </w:rPr>
              <w:br/>
            </w:r>
            <w:r>
              <w:rPr>
                <w:sz w:val="20"/>
                <w:szCs w:val="20"/>
              </w:rPr>
              <w:t xml:space="preserve">De </w:t>
            </w:r>
            <w:proofErr w:type="spellStart"/>
            <w:r>
              <w:rPr>
                <w:sz w:val="20"/>
                <w:szCs w:val="20"/>
              </w:rPr>
              <w:t>Languedoc</w:t>
            </w:r>
            <w:proofErr w:type="spellEnd"/>
            <w:r>
              <w:rPr>
                <w:sz w:val="20"/>
                <w:szCs w:val="20"/>
              </w:rPr>
              <w:t xml:space="preserve"> kampt momenteel met een nijpend tekort aan (bulk)</w:t>
            </w:r>
            <w:proofErr w:type="spellStart"/>
            <w:r>
              <w:rPr>
                <w:sz w:val="20"/>
                <w:szCs w:val="20"/>
              </w:rPr>
              <w:t>rosés</w:t>
            </w:r>
            <w:proofErr w:type="spellEnd"/>
            <w:r>
              <w:rPr>
                <w:sz w:val="20"/>
                <w:szCs w:val="20"/>
              </w:rPr>
              <w:t xml:space="preserve"> op basis van </w:t>
            </w:r>
            <w:proofErr w:type="spellStart"/>
            <w:r>
              <w:rPr>
                <w:sz w:val="20"/>
                <w:szCs w:val="20"/>
              </w:rPr>
              <w:t>cinsault</w:t>
            </w:r>
            <w:proofErr w:type="spellEnd"/>
            <w:r>
              <w:rPr>
                <w:sz w:val="20"/>
                <w:szCs w:val="20"/>
              </w:rPr>
              <w:t xml:space="preserve">. Reden hiervoor is de fors gegroeide markt voor dit type wijn. Vorig jaar alleen al steeg het transactievolume met 18% tot 464.000 hectoliter en sinds 2005 is dat volume zo goed als verdubbeld. </w:t>
            </w:r>
            <w:proofErr w:type="spellStart"/>
            <w:r>
              <w:rPr>
                <w:sz w:val="20"/>
                <w:szCs w:val="20"/>
              </w:rPr>
              <w:t>Cinsault</w:t>
            </w:r>
            <w:proofErr w:type="spellEnd"/>
            <w:r>
              <w:rPr>
                <w:sz w:val="20"/>
                <w:szCs w:val="20"/>
              </w:rPr>
              <w:t xml:space="preserve"> levert de helft van alle </w:t>
            </w:r>
            <w:proofErr w:type="spellStart"/>
            <w:r>
              <w:rPr>
                <w:sz w:val="20"/>
                <w:szCs w:val="20"/>
              </w:rPr>
              <w:t>rosés</w:t>
            </w:r>
            <w:proofErr w:type="spellEnd"/>
            <w:r>
              <w:rPr>
                <w:sz w:val="20"/>
                <w:szCs w:val="20"/>
              </w:rPr>
              <w:t xml:space="preserve"> die als IGP verkocht worden. </w:t>
            </w:r>
            <w:r>
              <w:rPr>
                <w:sz w:val="20"/>
                <w:szCs w:val="20"/>
              </w:rPr>
              <w:br/>
            </w:r>
            <w:proofErr w:type="spellStart"/>
            <w:r>
              <w:rPr>
                <w:sz w:val="20"/>
                <w:szCs w:val="20"/>
              </w:rPr>
              <w:t>Paradoxaaal</w:t>
            </w:r>
            <w:proofErr w:type="spellEnd"/>
            <w:r>
              <w:rPr>
                <w:sz w:val="20"/>
                <w:szCs w:val="20"/>
              </w:rPr>
              <w:t xml:space="preserve"> genoeg staat de explosief gestegen vraag vanuit de markt haaks op de ontwikkeling van de aanplant. Sinds 1988 is die almaar geslonken, en niet zo´n beetje. Van de 40.000 hectare toen zijn er nog maar 10.500 overgebleven. De afgelopen vijf jaar werden nog 5400 hectare gerooid, terwijl er maar 825 nieuw werden aangeplant. Een van de redenen voor de terughoudendheid bij telers is dat ze tot voor kort op een enkele uitzondering na geen aanspraak konden maken op premies bij aanplant van </w:t>
            </w:r>
            <w:proofErr w:type="spellStart"/>
            <w:r>
              <w:rPr>
                <w:sz w:val="20"/>
                <w:szCs w:val="20"/>
              </w:rPr>
              <w:t>cinsault</w:t>
            </w:r>
            <w:proofErr w:type="spellEnd"/>
            <w:r>
              <w:rPr>
                <w:sz w:val="20"/>
                <w:szCs w:val="20"/>
              </w:rPr>
              <w:t xml:space="preserve">. De maatregelen in het kader van de nieuwe Europese wijnmarktordening hebben daar nu wel enige ruimte in gebracht. Een andere reden is dat de prijs voor een hectoliter </w:t>
            </w:r>
            <w:proofErr w:type="spellStart"/>
            <w:r>
              <w:rPr>
                <w:sz w:val="20"/>
                <w:szCs w:val="20"/>
              </w:rPr>
              <w:t>cinsault</w:t>
            </w:r>
            <w:proofErr w:type="spellEnd"/>
            <w:r>
              <w:rPr>
                <w:sz w:val="20"/>
                <w:szCs w:val="20"/>
              </w:rPr>
              <w:t xml:space="preserve"> de afgelopen vijf jaar gemiddeld rond 50 €/hl lag. Voor </w:t>
            </w:r>
            <w:proofErr w:type="spellStart"/>
            <w:r>
              <w:rPr>
                <w:sz w:val="20"/>
                <w:szCs w:val="20"/>
              </w:rPr>
              <w:t>chardonnay</w:t>
            </w:r>
            <w:proofErr w:type="spellEnd"/>
            <w:r>
              <w:rPr>
                <w:sz w:val="20"/>
                <w:szCs w:val="20"/>
              </w:rPr>
              <w:t xml:space="preserve"> lag die echter op bijna 90 €/hl. Bovendien is </w:t>
            </w:r>
            <w:proofErr w:type="spellStart"/>
            <w:r>
              <w:rPr>
                <w:sz w:val="20"/>
                <w:szCs w:val="20"/>
              </w:rPr>
              <w:t>cinsault</w:t>
            </w:r>
            <w:proofErr w:type="spellEnd"/>
            <w:r>
              <w:rPr>
                <w:sz w:val="20"/>
                <w:szCs w:val="20"/>
              </w:rPr>
              <w:t xml:space="preserve"> als druif nogal gevoelig voor de houtziekte </w:t>
            </w:r>
            <w:proofErr w:type="spellStart"/>
            <w:r>
              <w:rPr>
                <w:sz w:val="20"/>
                <w:szCs w:val="20"/>
              </w:rPr>
              <w:t>eutypiose</w:t>
            </w:r>
            <w:proofErr w:type="spellEnd"/>
            <w:r>
              <w:rPr>
                <w:sz w:val="20"/>
                <w:szCs w:val="20"/>
              </w:rPr>
              <w:t xml:space="preserve">. Zelfs al zou men weer wat meer gaan aanplanten, dan blijft het nog even wachten voordat nieuwe percelen in productie komen. De actuele prijs voor rosé van </w:t>
            </w:r>
            <w:proofErr w:type="spellStart"/>
            <w:r>
              <w:rPr>
                <w:sz w:val="20"/>
                <w:szCs w:val="20"/>
              </w:rPr>
              <w:t>cinsault</w:t>
            </w:r>
            <w:proofErr w:type="spellEnd"/>
            <w:r>
              <w:rPr>
                <w:sz w:val="20"/>
                <w:szCs w:val="20"/>
              </w:rPr>
              <w:t xml:space="preserve"> is opgelopen tot 65 €/hl. Of het daarbij blijft? </w:t>
            </w:r>
          </w:p>
          <w:p w:rsidR="006465A6" w:rsidRDefault="006465A6" w:rsidP="006465A6">
            <w:pPr>
              <w:pStyle w:val="Normaalweb"/>
            </w:pPr>
            <w:r>
              <w:rPr>
                <w:rStyle w:val="Zwaar"/>
                <w:sz w:val="20"/>
                <w:szCs w:val="20"/>
              </w:rPr>
              <w:t xml:space="preserve">Frankrijk - Goede resultaten voor IGP </w:t>
            </w:r>
            <w:proofErr w:type="spellStart"/>
            <w:r>
              <w:rPr>
                <w:rStyle w:val="Zwaar"/>
                <w:sz w:val="20"/>
                <w:szCs w:val="20"/>
              </w:rPr>
              <w:t>Pays</w:t>
            </w:r>
            <w:proofErr w:type="spellEnd"/>
            <w:r>
              <w:rPr>
                <w:rStyle w:val="Zwaar"/>
                <w:sz w:val="20"/>
                <w:szCs w:val="20"/>
              </w:rPr>
              <w:t xml:space="preserve"> </w:t>
            </w:r>
            <w:proofErr w:type="spellStart"/>
            <w:r>
              <w:rPr>
                <w:rStyle w:val="Zwaar"/>
                <w:sz w:val="20"/>
                <w:szCs w:val="20"/>
              </w:rPr>
              <w:t>d'Oc</w:t>
            </w:r>
            <w:proofErr w:type="spellEnd"/>
            <w:r>
              <w:rPr>
                <w:b/>
                <w:bCs/>
                <w:sz w:val="20"/>
                <w:szCs w:val="20"/>
              </w:rPr>
              <w:br/>
            </w:r>
            <w:r>
              <w:rPr>
                <w:sz w:val="20"/>
                <w:szCs w:val="20"/>
              </w:rPr>
              <w:t xml:space="preserve">Vin de </w:t>
            </w:r>
            <w:proofErr w:type="spellStart"/>
            <w:r>
              <w:rPr>
                <w:sz w:val="20"/>
                <w:szCs w:val="20"/>
              </w:rPr>
              <w:t>Pays</w:t>
            </w:r>
            <w:proofErr w:type="spellEnd"/>
            <w:r>
              <w:rPr>
                <w:sz w:val="20"/>
                <w:szCs w:val="20"/>
              </w:rPr>
              <w:t xml:space="preserve"> d´</w:t>
            </w:r>
            <w:proofErr w:type="spellStart"/>
            <w:r>
              <w:rPr>
                <w:sz w:val="20"/>
                <w:szCs w:val="20"/>
              </w:rPr>
              <w:t>Oc</w:t>
            </w:r>
            <w:proofErr w:type="spellEnd"/>
            <w:r>
              <w:rPr>
                <w:sz w:val="20"/>
                <w:szCs w:val="20"/>
              </w:rPr>
              <w:t xml:space="preserve"> heet tegenwoordig IGP </w:t>
            </w:r>
            <w:proofErr w:type="spellStart"/>
            <w:r>
              <w:rPr>
                <w:sz w:val="20"/>
                <w:szCs w:val="20"/>
              </w:rPr>
              <w:t>Pays</w:t>
            </w:r>
            <w:proofErr w:type="spellEnd"/>
            <w:r>
              <w:rPr>
                <w:sz w:val="20"/>
                <w:szCs w:val="20"/>
              </w:rPr>
              <w:t xml:space="preserve"> </w:t>
            </w:r>
            <w:proofErr w:type="spellStart"/>
            <w:r>
              <w:rPr>
                <w:sz w:val="20"/>
                <w:szCs w:val="20"/>
              </w:rPr>
              <w:t>d'Oc</w:t>
            </w:r>
            <w:proofErr w:type="spellEnd"/>
            <w:r>
              <w:rPr>
                <w:sz w:val="20"/>
                <w:szCs w:val="20"/>
              </w:rPr>
              <w:t xml:space="preserve">. Het eerste jaar met deze ietwat andere benaming is commercieel succesvol geweest. Van alle in 2010 in de </w:t>
            </w:r>
            <w:proofErr w:type="spellStart"/>
            <w:r>
              <w:rPr>
                <w:sz w:val="20"/>
                <w:szCs w:val="20"/>
              </w:rPr>
              <w:t>Languedoc</w:t>
            </w:r>
            <w:proofErr w:type="spellEnd"/>
            <w:r>
              <w:rPr>
                <w:sz w:val="20"/>
                <w:szCs w:val="20"/>
              </w:rPr>
              <w:t xml:space="preserve"> en de </w:t>
            </w:r>
            <w:proofErr w:type="spellStart"/>
            <w:r>
              <w:rPr>
                <w:sz w:val="20"/>
                <w:szCs w:val="20"/>
              </w:rPr>
              <w:t>Roussillon</w:t>
            </w:r>
            <w:proofErr w:type="spellEnd"/>
            <w:r>
              <w:rPr>
                <w:sz w:val="20"/>
                <w:szCs w:val="20"/>
              </w:rPr>
              <w:t xml:space="preserve"> geproduceerde wijnen viel 47% onder de noemer IGP </w:t>
            </w:r>
            <w:proofErr w:type="spellStart"/>
            <w:r>
              <w:rPr>
                <w:sz w:val="20"/>
                <w:szCs w:val="20"/>
              </w:rPr>
              <w:t>Pays</w:t>
            </w:r>
            <w:proofErr w:type="spellEnd"/>
            <w:r>
              <w:rPr>
                <w:sz w:val="20"/>
                <w:szCs w:val="20"/>
              </w:rPr>
              <w:t xml:space="preserve"> d´</w:t>
            </w:r>
            <w:proofErr w:type="spellStart"/>
            <w:r>
              <w:rPr>
                <w:sz w:val="20"/>
                <w:szCs w:val="20"/>
              </w:rPr>
              <w:t>Oc</w:t>
            </w:r>
            <w:proofErr w:type="spellEnd"/>
            <w:r>
              <w:rPr>
                <w:sz w:val="20"/>
                <w:szCs w:val="20"/>
              </w:rPr>
              <w:t xml:space="preserve"> (5,5 miljoen hl op een totaal van 11,7 miljoen). 94 % daarvan bestond uit </w:t>
            </w:r>
            <w:proofErr w:type="spellStart"/>
            <w:r>
              <w:rPr>
                <w:sz w:val="20"/>
                <w:szCs w:val="20"/>
              </w:rPr>
              <w:t>cépagewijnen</w:t>
            </w:r>
            <w:proofErr w:type="spellEnd"/>
            <w:r>
              <w:rPr>
                <w:sz w:val="20"/>
                <w:szCs w:val="20"/>
              </w:rPr>
              <w:t xml:space="preserve"> waarmee IGP </w:t>
            </w:r>
            <w:proofErr w:type="spellStart"/>
            <w:r>
              <w:rPr>
                <w:sz w:val="20"/>
                <w:szCs w:val="20"/>
              </w:rPr>
              <w:t>Pays</w:t>
            </w:r>
            <w:proofErr w:type="spellEnd"/>
            <w:r>
              <w:rPr>
                <w:sz w:val="20"/>
                <w:szCs w:val="20"/>
              </w:rPr>
              <w:t xml:space="preserve"> d´</w:t>
            </w:r>
            <w:proofErr w:type="spellStart"/>
            <w:r>
              <w:rPr>
                <w:sz w:val="20"/>
                <w:szCs w:val="20"/>
              </w:rPr>
              <w:t>Oc</w:t>
            </w:r>
            <w:proofErr w:type="spellEnd"/>
            <w:r>
              <w:rPr>
                <w:sz w:val="20"/>
                <w:szCs w:val="20"/>
              </w:rPr>
              <w:t xml:space="preserve"> binnen Frankrijk een landelijk aandeel van 92% binnen deze categorie haalt. Voor </w:t>
            </w:r>
            <w:proofErr w:type="spellStart"/>
            <w:r>
              <w:rPr>
                <w:sz w:val="20"/>
                <w:szCs w:val="20"/>
              </w:rPr>
              <w:t>Grenache</w:t>
            </w:r>
            <w:proofErr w:type="spellEnd"/>
            <w:r>
              <w:rPr>
                <w:sz w:val="20"/>
                <w:szCs w:val="20"/>
              </w:rPr>
              <w:t xml:space="preserve"> rosé is dat zelfs 97%, voor </w:t>
            </w:r>
            <w:proofErr w:type="spellStart"/>
            <w:r>
              <w:rPr>
                <w:sz w:val="20"/>
                <w:szCs w:val="20"/>
              </w:rPr>
              <w:t>Syrah</w:t>
            </w:r>
            <w:proofErr w:type="spellEnd"/>
            <w:r>
              <w:rPr>
                <w:sz w:val="20"/>
                <w:szCs w:val="20"/>
              </w:rPr>
              <w:t xml:space="preserve"> rood en rosé 96% en voor </w:t>
            </w:r>
            <w:proofErr w:type="spellStart"/>
            <w:r>
              <w:rPr>
                <w:sz w:val="20"/>
                <w:szCs w:val="20"/>
              </w:rPr>
              <w:t>Merlot</w:t>
            </w:r>
            <w:proofErr w:type="spellEnd"/>
            <w:r>
              <w:rPr>
                <w:sz w:val="20"/>
                <w:szCs w:val="20"/>
              </w:rPr>
              <w:t xml:space="preserve"> 95%. </w:t>
            </w:r>
          </w:p>
          <w:p w:rsidR="006465A6" w:rsidRDefault="006465A6" w:rsidP="006465A6">
            <w:pPr>
              <w:pStyle w:val="Normaalweb"/>
            </w:pPr>
            <w:r>
              <w:br/>
            </w:r>
            <w:r>
              <w:rPr>
                <w:rStyle w:val="Zwaar"/>
                <w:sz w:val="20"/>
                <w:szCs w:val="20"/>
              </w:rPr>
              <w:t xml:space="preserve">Frankrijk - Prijsstijging voor </w:t>
            </w:r>
            <w:proofErr w:type="spellStart"/>
            <w:r>
              <w:rPr>
                <w:rStyle w:val="Zwaar"/>
                <w:sz w:val="20"/>
                <w:szCs w:val="20"/>
              </w:rPr>
              <w:t>Côtes</w:t>
            </w:r>
            <w:proofErr w:type="spellEnd"/>
            <w:r>
              <w:rPr>
                <w:rStyle w:val="Zwaar"/>
                <w:sz w:val="20"/>
                <w:szCs w:val="20"/>
              </w:rPr>
              <w:t xml:space="preserve"> du Rhône</w:t>
            </w:r>
            <w:r>
              <w:rPr>
                <w:b/>
                <w:bCs/>
                <w:sz w:val="20"/>
                <w:szCs w:val="20"/>
              </w:rPr>
              <w:br/>
            </w:r>
            <w:r>
              <w:rPr>
                <w:sz w:val="20"/>
                <w:szCs w:val="20"/>
              </w:rPr>
              <w:t xml:space="preserve">Wijnen met AOC </w:t>
            </w:r>
            <w:proofErr w:type="spellStart"/>
            <w:r>
              <w:rPr>
                <w:sz w:val="20"/>
                <w:szCs w:val="20"/>
              </w:rPr>
              <w:t>Côtes</w:t>
            </w:r>
            <w:proofErr w:type="spellEnd"/>
            <w:r>
              <w:rPr>
                <w:sz w:val="20"/>
                <w:szCs w:val="20"/>
              </w:rPr>
              <w:t xml:space="preserve"> du Rhône hebben in het nu lopende campagnejaar 2010-2011 de wind in de rug gekregen met prijzen die duidelijk hoger liggen dan afgelopen jaar. Het heeft te maken met kleine voorraden en een klein oogstvolume in 2010. Ook zijn er afspraken gemaakt tussen producenten en handel, vooral op aandringen van de eerste groep.</w:t>
            </w:r>
            <w:r>
              <w:rPr>
                <w:sz w:val="20"/>
                <w:szCs w:val="20"/>
              </w:rPr>
              <w:br/>
              <w:t xml:space="preserve">Een paar voorbeelden van aantrekkende prijzen: </w:t>
            </w:r>
            <w:r>
              <w:rPr>
                <w:sz w:val="20"/>
                <w:szCs w:val="20"/>
              </w:rPr>
              <w:br/>
              <w:t>Primeurwijnen: 100 €/hl tegen 90 € /hl in 2009.</w:t>
            </w:r>
            <w:r>
              <w:rPr>
                <w:sz w:val="20"/>
                <w:szCs w:val="20"/>
              </w:rPr>
              <w:br/>
            </w:r>
            <w:proofErr w:type="spellStart"/>
            <w:r>
              <w:rPr>
                <w:sz w:val="20"/>
                <w:szCs w:val="20"/>
              </w:rPr>
              <w:t>Côtes</w:t>
            </w:r>
            <w:proofErr w:type="spellEnd"/>
            <w:r>
              <w:rPr>
                <w:sz w:val="20"/>
                <w:szCs w:val="20"/>
              </w:rPr>
              <w:t xml:space="preserve"> du Rhône </w:t>
            </w:r>
            <w:proofErr w:type="spellStart"/>
            <w:r>
              <w:rPr>
                <w:sz w:val="20"/>
                <w:szCs w:val="20"/>
              </w:rPr>
              <w:t>blanc</w:t>
            </w:r>
            <w:proofErr w:type="spellEnd"/>
            <w:r>
              <w:rPr>
                <w:sz w:val="20"/>
                <w:szCs w:val="20"/>
              </w:rPr>
              <w:t>: 140 €/hl tegen 130 €/hl in 2009.</w:t>
            </w:r>
            <w:r>
              <w:rPr>
                <w:sz w:val="20"/>
                <w:szCs w:val="20"/>
              </w:rPr>
              <w:br/>
            </w:r>
            <w:proofErr w:type="spellStart"/>
            <w:r>
              <w:rPr>
                <w:sz w:val="20"/>
                <w:szCs w:val="20"/>
              </w:rPr>
              <w:t>Côtes</w:t>
            </w:r>
            <w:proofErr w:type="spellEnd"/>
            <w:r>
              <w:rPr>
                <w:sz w:val="20"/>
                <w:szCs w:val="20"/>
              </w:rPr>
              <w:t xml:space="preserve"> du Rhône rosé: 114 €/hl tegen 105 €/hl in 2009.</w:t>
            </w:r>
            <w:r>
              <w:rPr>
                <w:sz w:val="20"/>
                <w:szCs w:val="20"/>
              </w:rPr>
              <w:br/>
            </w:r>
            <w:proofErr w:type="spellStart"/>
            <w:r>
              <w:rPr>
                <w:sz w:val="20"/>
                <w:szCs w:val="20"/>
              </w:rPr>
              <w:t>Côtes</w:t>
            </w:r>
            <w:proofErr w:type="spellEnd"/>
            <w:r>
              <w:rPr>
                <w:sz w:val="20"/>
                <w:szCs w:val="20"/>
              </w:rPr>
              <w:t xml:space="preserve"> du Rhône rouge 2009: 95 tot 105 €/hl tegen 80 €/hl najaar 2010.</w:t>
            </w:r>
            <w:r>
              <w:t xml:space="preserve"> </w:t>
            </w:r>
          </w:p>
          <w:p w:rsidR="006465A6" w:rsidRDefault="006465A6" w:rsidP="006465A6">
            <w:pPr>
              <w:pStyle w:val="Normaalweb"/>
            </w:pPr>
            <w:r>
              <w:rPr>
                <w:rStyle w:val="Zwaar"/>
                <w:sz w:val="20"/>
                <w:szCs w:val="20"/>
              </w:rPr>
              <w:t>Frankrijk - Champagneverkoop 10% hoger in 2010</w:t>
            </w:r>
            <w:r>
              <w:rPr>
                <w:b/>
                <w:bCs/>
                <w:sz w:val="20"/>
                <w:szCs w:val="20"/>
              </w:rPr>
              <w:br/>
            </w:r>
            <w:r>
              <w:rPr>
                <w:sz w:val="20"/>
                <w:szCs w:val="20"/>
              </w:rPr>
              <w:t xml:space="preserve">Champagne lijkt de crisis weer te hebben overwonnen. Na twee jaren van dalende verkopen werd in 2010 10% meer omgezet dan in 2009. Het aantal verkochte flessen steeg van 293,3 miljoen tot 315 à </w:t>
            </w:r>
            <w:r>
              <w:rPr>
                <w:sz w:val="20"/>
                <w:szCs w:val="20"/>
              </w:rPr>
              <w:lastRenderedPageBreak/>
              <w:t xml:space="preserve">320 miljoen. Ter vergelijking: in 2008 werden 322 miljoen flessen verkocht. Een bemoedigend teken is dat ook de waarde weer stijgt. Dumping zoals in 2009, met in Franse supermarkten prijzen van minder dan 10 euro per fles, is in 2010 niet of nauwelijks voorgekomen, terwijl prestige </w:t>
            </w:r>
            <w:proofErr w:type="spellStart"/>
            <w:r>
              <w:rPr>
                <w:sz w:val="20"/>
                <w:szCs w:val="20"/>
              </w:rPr>
              <w:t>cuvées</w:t>
            </w:r>
            <w:proofErr w:type="spellEnd"/>
            <w:r>
              <w:rPr>
                <w:sz w:val="20"/>
                <w:szCs w:val="20"/>
              </w:rPr>
              <w:t xml:space="preserve"> juist weer meer in trek gekomen zijn. </w:t>
            </w:r>
          </w:p>
          <w:p w:rsidR="006465A6" w:rsidRPr="006465A6" w:rsidRDefault="006465A6" w:rsidP="006465A6">
            <w:pPr>
              <w:pStyle w:val="Normaalweb"/>
            </w:pPr>
            <w:r>
              <w:rPr>
                <w:rStyle w:val="Zwaar"/>
                <w:sz w:val="20"/>
                <w:szCs w:val="20"/>
              </w:rPr>
              <w:t>Duitsland - Structurele schaalvergroting</w:t>
            </w:r>
            <w:r>
              <w:rPr>
                <w:b/>
                <w:bCs/>
                <w:sz w:val="20"/>
                <w:szCs w:val="20"/>
              </w:rPr>
              <w:br/>
            </w:r>
            <w:r>
              <w:rPr>
                <w:sz w:val="20"/>
                <w:szCs w:val="20"/>
              </w:rPr>
              <w:t xml:space="preserve">Hoewel de aanplant in Duitsland de afgelopen tien jaar stabiel gebleven is, is het aantal wijnbouwbedrijven significant afgenomen. Met andere woorden: binnen de Duitse wijnbouw is sprake van al maar verder gaande concentratie en schaalvergroting. Tussen 1999 en 2009 daalde het aantal bedrijven dat minder dan 5 ha wijngaard heeft met respectievelijk 20.000 en 30 procent. In totaal zijn in Duitsland nu nog circa 48.000 bedrijven actief. Daarvan zijn er 6.000 groter dan 5 ha. De grootste teruggang in kleine bedrijfjes, met een percentage van rond de 40, deed zich voor in de gebieden </w:t>
            </w:r>
            <w:proofErr w:type="spellStart"/>
            <w:r>
              <w:rPr>
                <w:sz w:val="20"/>
                <w:szCs w:val="20"/>
              </w:rPr>
              <w:t>Mittelrhein</w:t>
            </w:r>
            <w:proofErr w:type="spellEnd"/>
            <w:r>
              <w:rPr>
                <w:sz w:val="20"/>
                <w:szCs w:val="20"/>
              </w:rPr>
              <w:t xml:space="preserve">, </w:t>
            </w:r>
            <w:proofErr w:type="spellStart"/>
            <w:r>
              <w:rPr>
                <w:sz w:val="20"/>
                <w:szCs w:val="20"/>
              </w:rPr>
              <w:t>Rheingau</w:t>
            </w:r>
            <w:proofErr w:type="spellEnd"/>
            <w:r>
              <w:rPr>
                <w:sz w:val="20"/>
                <w:szCs w:val="20"/>
              </w:rPr>
              <w:t xml:space="preserve">, </w:t>
            </w:r>
            <w:proofErr w:type="spellStart"/>
            <w:r>
              <w:rPr>
                <w:sz w:val="20"/>
                <w:szCs w:val="20"/>
              </w:rPr>
              <w:t>Mosel</w:t>
            </w:r>
            <w:proofErr w:type="spellEnd"/>
            <w:r>
              <w:rPr>
                <w:sz w:val="20"/>
                <w:szCs w:val="20"/>
              </w:rPr>
              <w:t xml:space="preserve">, </w:t>
            </w:r>
            <w:proofErr w:type="spellStart"/>
            <w:r>
              <w:rPr>
                <w:sz w:val="20"/>
                <w:szCs w:val="20"/>
              </w:rPr>
              <w:t>Pfalz</w:t>
            </w:r>
            <w:proofErr w:type="spellEnd"/>
            <w:r>
              <w:rPr>
                <w:sz w:val="20"/>
                <w:szCs w:val="20"/>
              </w:rPr>
              <w:t xml:space="preserve"> en </w:t>
            </w:r>
            <w:proofErr w:type="spellStart"/>
            <w:r>
              <w:rPr>
                <w:sz w:val="20"/>
                <w:szCs w:val="20"/>
              </w:rPr>
              <w:t>Rheinhessen</w:t>
            </w:r>
            <w:proofErr w:type="spellEnd"/>
            <w:r>
              <w:rPr>
                <w:sz w:val="20"/>
                <w:szCs w:val="20"/>
              </w:rPr>
              <w:t xml:space="preserve">. Alleen </w:t>
            </w:r>
            <w:proofErr w:type="spellStart"/>
            <w:r>
              <w:rPr>
                <w:sz w:val="20"/>
                <w:szCs w:val="20"/>
              </w:rPr>
              <w:t>Saale-Unstrut</w:t>
            </w:r>
            <w:proofErr w:type="spellEnd"/>
            <w:r>
              <w:rPr>
                <w:sz w:val="20"/>
                <w:szCs w:val="20"/>
              </w:rPr>
              <w:t xml:space="preserve"> ging tegen de trend in. Daar steeg het aantal bedrijven juist met een kwart. Ook de aanplant nam hier relatief sterk toe. </w:t>
            </w:r>
            <w:r>
              <w:rPr>
                <w:sz w:val="20"/>
                <w:szCs w:val="20"/>
              </w:rPr>
              <w:br/>
              <w:t xml:space="preserve">In gebieden als </w:t>
            </w:r>
            <w:proofErr w:type="spellStart"/>
            <w:r>
              <w:rPr>
                <w:sz w:val="20"/>
                <w:szCs w:val="20"/>
              </w:rPr>
              <w:t>Rheinhessen</w:t>
            </w:r>
            <w:proofErr w:type="spellEnd"/>
            <w:r>
              <w:rPr>
                <w:sz w:val="20"/>
                <w:szCs w:val="20"/>
              </w:rPr>
              <w:t xml:space="preserve"> en </w:t>
            </w:r>
            <w:proofErr w:type="spellStart"/>
            <w:r>
              <w:rPr>
                <w:sz w:val="20"/>
                <w:szCs w:val="20"/>
              </w:rPr>
              <w:t>Pfalz</w:t>
            </w:r>
            <w:proofErr w:type="spellEnd"/>
            <w:r>
              <w:rPr>
                <w:sz w:val="20"/>
                <w:szCs w:val="20"/>
              </w:rPr>
              <w:t xml:space="preserve">, waar door het overwegend vlakke terrein veel werkzaamheden machinaal uitgevoerd kunnen worden, ligt de gemiddelde bedrijfsgrootte tussen 6 en 8 ha, in gebieden met steile hellingen zoals </w:t>
            </w:r>
            <w:proofErr w:type="spellStart"/>
            <w:r>
              <w:rPr>
                <w:sz w:val="20"/>
                <w:szCs w:val="20"/>
              </w:rPr>
              <w:t>Mosel</w:t>
            </w:r>
            <w:proofErr w:type="spellEnd"/>
            <w:r>
              <w:rPr>
                <w:sz w:val="20"/>
                <w:szCs w:val="20"/>
              </w:rPr>
              <w:t xml:space="preserve"> en </w:t>
            </w:r>
            <w:proofErr w:type="spellStart"/>
            <w:r>
              <w:rPr>
                <w:sz w:val="20"/>
                <w:szCs w:val="20"/>
              </w:rPr>
              <w:t>Mittelrhein</w:t>
            </w:r>
            <w:proofErr w:type="spellEnd"/>
            <w:r>
              <w:rPr>
                <w:sz w:val="20"/>
                <w:szCs w:val="20"/>
              </w:rPr>
              <w:t xml:space="preserve"> ligt die daarentegen op maar 2 ha. Baden en </w:t>
            </w:r>
            <w:proofErr w:type="spellStart"/>
            <w:r>
              <w:rPr>
                <w:sz w:val="20"/>
                <w:szCs w:val="20"/>
              </w:rPr>
              <w:t>Württemberg</w:t>
            </w:r>
            <w:proofErr w:type="spellEnd"/>
            <w:r>
              <w:rPr>
                <w:sz w:val="20"/>
                <w:szCs w:val="20"/>
              </w:rPr>
              <w:t xml:space="preserve">, waar wijnbouw veelal geen hoofdberoep is en de gemiddelde aanplant per bedrijf slechts 1 ha is, hebben de hoogste coöperatiedichtheid van heel Duitsland. Rond 80% van de boeren is daar aangesloten bij </w:t>
            </w:r>
            <w:proofErr w:type="spellStart"/>
            <w:r>
              <w:rPr>
                <w:sz w:val="20"/>
                <w:szCs w:val="20"/>
              </w:rPr>
              <w:t>Winzergenossenschaften</w:t>
            </w:r>
            <w:proofErr w:type="spellEnd"/>
            <w:r>
              <w:rPr>
                <w:sz w:val="20"/>
                <w:szCs w:val="20"/>
              </w:rPr>
              <w:t xml:space="preserve">. Hobbywijngebied </w:t>
            </w:r>
            <w:proofErr w:type="spellStart"/>
            <w:r>
              <w:rPr>
                <w:sz w:val="20"/>
                <w:szCs w:val="20"/>
              </w:rPr>
              <w:t>Sachsen</w:t>
            </w:r>
            <w:proofErr w:type="spellEnd"/>
            <w:r>
              <w:rPr>
                <w:sz w:val="20"/>
                <w:szCs w:val="20"/>
              </w:rPr>
              <w:t xml:space="preserve"> heeft de kleinste bedrijfjes met gemiddeld 0,2 ha wijngaard.</w:t>
            </w:r>
            <w:r>
              <w:t xml:space="preserve"> </w:t>
            </w:r>
            <w:r>
              <w:br/>
            </w:r>
            <w:r>
              <w:rPr>
                <w:sz w:val="20"/>
                <w:szCs w:val="20"/>
              </w:rPr>
              <w:t>Ontwikkeling in omvang van Duitse mijnbouwbedrijven tussen 1989 en 2009:</w:t>
            </w:r>
            <w:r>
              <w:t xml:space="preserve"> </w:t>
            </w:r>
            <w:r>
              <w:br/>
            </w:r>
            <w:r>
              <w:rPr>
                <w:sz w:val="20"/>
                <w:szCs w:val="20"/>
              </w:rPr>
              <w:t>Aantal bedrijven en aanplant per gebied:</w:t>
            </w:r>
            <w:r>
              <w:t xml:space="preserve"> </w:t>
            </w:r>
            <w:r>
              <w:rPr>
                <w:rFonts w:eastAsia="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272"/>
              <w:gridCol w:w="1272"/>
              <w:gridCol w:w="1272"/>
              <w:gridCol w:w="1572"/>
              <w:gridCol w:w="1428"/>
            </w:tblGrid>
            <w:tr w:rsidR="006465A6">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Bedrijfsomvang in hectare</w:t>
                  </w:r>
                  <w:r>
                    <w:t xml:space="preserve"> </w:t>
                  </w:r>
                </w:p>
              </w:tc>
              <w:tc>
                <w:tcPr>
                  <w:tcW w:w="5388" w:type="dxa"/>
                  <w:gridSpan w:val="4"/>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aantal wijnbouwbedrijven</w:t>
                  </w:r>
                  <w:r>
                    <w:t xml:space="preserve"> </w:t>
                  </w:r>
                </w:p>
              </w:tc>
              <w:tc>
                <w:tcPr>
                  <w:tcW w:w="142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xml:space="preserve">+/- </w:t>
                  </w:r>
                  <w:r>
                    <w:rPr>
                      <w:rStyle w:val="Zwaar"/>
                      <w:sz w:val="20"/>
                      <w:szCs w:val="20"/>
                    </w:rPr>
                    <w:t>09/99 in %</w:t>
                  </w:r>
                  <w:r>
                    <w:t xml:space="preserve"> </w:t>
                  </w:r>
                </w:p>
              </w:tc>
            </w:tr>
            <w:tr w:rsidR="006465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2009</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1999</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1989</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w:t>
                  </w:r>
                  <w:r>
                    <w:rPr>
                      <w:rStyle w:val="Zwaar"/>
                      <w:sz w:val="20"/>
                      <w:szCs w:val="20"/>
                    </w:rPr>
                    <w:t xml:space="preserve"> 09/99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0,2</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16.547</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23.473</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21.620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-6.926</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-29,5</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0,2 - 0,5</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10.904</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17.156</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20.365</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-6.252</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-36,4</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0,5 - 1</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5.660</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9.072</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12.039</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-3.412</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-37,6</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1 - 2</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4.130</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6.298</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9.220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-2.168</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-34,4</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2 - 5</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4.784</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6.706</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9.118</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-1.922</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-28,7</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xml:space="preserve">˃ 5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5.984</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5.898</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5.026</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86</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1,5</w:t>
                  </w:r>
                  <w:r>
                    <w:t xml:space="preserve"> </w:t>
                  </w:r>
                </w:p>
              </w:tc>
            </w:tr>
            <w:tr w:rsidR="006465A6">
              <w:trPr>
                <w:tblCellSpacing w:w="0" w:type="dxa"/>
              </w:trPr>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Totaal</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48.009</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68.603</w:t>
                  </w:r>
                  <w:r>
                    <w:t xml:space="preserve">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77.388</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-20.594</w:t>
                  </w:r>
                  <w:r>
                    <w:t xml:space="preserve"> </w:t>
                  </w:r>
                </w:p>
              </w:tc>
              <w:tc>
                <w:tcPr>
                  <w:tcW w:w="142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-30,0</w:t>
                  </w:r>
                  <w:r>
                    <w:t xml:space="preserve"> </w:t>
                  </w:r>
                </w:p>
              </w:tc>
            </w:tr>
            <w:tr w:rsidR="006465A6">
              <w:trPr>
                <w:tblCellSpacing w:w="0" w:type="dxa"/>
              </w:trPr>
              <w:tc>
                <w:tcPr>
                  <w:tcW w:w="8712" w:type="dxa"/>
                  <w:gridSpan w:val="6"/>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xml:space="preserve">Bron: </w:t>
                  </w:r>
                  <w:proofErr w:type="spellStart"/>
                  <w:r>
                    <w:rPr>
                      <w:sz w:val="20"/>
                      <w:szCs w:val="20"/>
                    </w:rPr>
                    <w:t>Statistisches</w:t>
                  </w:r>
                  <w:proofErr w:type="spellEnd"/>
                  <w:r>
                    <w:rPr>
                      <w:sz w:val="20"/>
                      <w:szCs w:val="20"/>
                    </w:rPr>
                    <w:t xml:space="preserve"> </w:t>
                  </w:r>
                  <w:proofErr w:type="spellStart"/>
                  <w:r>
                    <w:rPr>
                      <w:sz w:val="20"/>
                      <w:szCs w:val="20"/>
                    </w:rPr>
                    <w:t>Bundesamt</w:t>
                  </w:r>
                  <w:proofErr w:type="spellEnd"/>
                  <w:r>
                    <w:t xml:space="preserve"> </w:t>
                  </w:r>
                </w:p>
              </w:tc>
            </w:tr>
          </w:tbl>
          <w:p w:rsidR="006465A6" w:rsidRPr="006465A6" w:rsidRDefault="006465A6" w:rsidP="006465A6">
            <w:pPr>
              <w:pStyle w:val="Normaalweb"/>
            </w:pPr>
            <w:r>
              <w:rPr>
                <w:sz w:val="20"/>
                <w:szCs w:val="20"/>
              </w:rPr>
              <w:t xml:space="preserve">Aantal bedrijven en aanplant per gebied: </w:t>
            </w:r>
            <w:r>
              <w:rPr>
                <w:rFonts w:eastAsia="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2"/>
              <w:gridCol w:w="1164"/>
              <w:gridCol w:w="1080"/>
              <w:gridCol w:w="1092"/>
              <w:gridCol w:w="924"/>
              <w:gridCol w:w="1560"/>
              <w:gridCol w:w="1248"/>
            </w:tblGrid>
            <w:tr w:rsidR="006465A6">
              <w:trPr>
                <w:tblCellSpacing w:w="0" w:type="dxa"/>
              </w:trPr>
              <w:tc>
                <w:tcPr>
                  <w:tcW w:w="205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Gebied</w:t>
                  </w:r>
                  <w:r>
                    <w:t xml:space="preserve"> </w:t>
                  </w:r>
                </w:p>
              </w:tc>
              <w:tc>
                <w:tcPr>
                  <w:tcW w:w="332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aantal wijnbouwbedrijven</w:t>
                  </w:r>
                  <w:r>
                    <w:t xml:space="preserve"> </w:t>
                  </w:r>
                </w:p>
              </w:tc>
              <w:tc>
                <w:tcPr>
                  <w:tcW w:w="9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w:t>
                  </w:r>
                  <w:r>
                    <w:rPr>
                      <w:rStyle w:val="Zwaar"/>
                      <w:sz w:val="20"/>
                      <w:szCs w:val="20"/>
                    </w:rPr>
                    <w:t xml:space="preserve"> 09/99 in %</w:t>
                  </w:r>
                  <w:r>
                    <w:t xml:space="preserve"> </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totale aanplant per gebied in ha</w:t>
                  </w:r>
                  <w:r>
                    <w:t xml:space="preserve"> </w:t>
                  </w:r>
                </w:p>
              </w:tc>
              <w:tc>
                <w:tcPr>
                  <w:tcW w:w="124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Ø aanplant bedrijf in ha</w:t>
                  </w:r>
                  <w:r>
                    <w:t xml:space="preserve"> </w:t>
                  </w:r>
                </w:p>
              </w:tc>
            </w:tr>
            <w:tr w:rsidR="006465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2009</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1999</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+/- 09/99</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5A6" w:rsidRDefault="006465A6">
                  <w:pPr>
                    <w:rPr>
                      <w:rFonts w:ascii="Arial" w:hAnsi="Arial" w:cs="Arial"/>
                      <w:sz w:val="14"/>
                      <w:szCs w:val="14"/>
                    </w:rPr>
                  </w:pP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Rheinhessen</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3.451</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5.631</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- 2.180</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-39</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26.480</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7,7</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Pfalz</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4.165</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6.890</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- 2.725</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23.467</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5,6</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Baden</w:t>
                  </w:r>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14.056</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19.918</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- 5.862</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-29</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15.836</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1,1</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Württemberg</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10.831</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14.138</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- 3.307</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-23</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11.435</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1,1</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Mosel</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4.415</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7.371</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- 2.956</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8.976</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2,0</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Franken</w:t>
                  </w:r>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4.901</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6.586</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- 1.685</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-26</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6.104</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1,2</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Nahe</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783</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1.074</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291</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-27</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4.163</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5,3</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Rheingau</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814</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1.384</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570</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-41</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3.062</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3,8</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Saale-Unstrut</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679</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5.33</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146</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27</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704</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1,0</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Ahr</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637</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7.00</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63</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-9</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557</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0,9</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Sachsen</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2.559</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3.213</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654</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-20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461</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0,2</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Mittelrhein</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245</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4.29</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184</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-43</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458</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1,9</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proofErr w:type="spellStart"/>
                  <w:r>
                    <w:rPr>
                      <w:sz w:val="20"/>
                      <w:szCs w:val="20"/>
                    </w:rPr>
                    <w:t>Hess</w:t>
                  </w:r>
                  <w:proofErr w:type="spellEnd"/>
                  <w:r>
                    <w:rPr>
                      <w:sz w:val="20"/>
                      <w:szCs w:val="20"/>
                    </w:rPr>
                    <w:t xml:space="preserve">. </w:t>
                  </w:r>
                  <w:proofErr w:type="spellStart"/>
                  <w:r>
                    <w:rPr>
                      <w:sz w:val="20"/>
                      <w:szCs w:val="20"/>
                    </w:rPr>
                    <w:t>Bergstraße</w:t>
                  </w:r>
                  <w:proofErr w:type="spellEnd"/>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454</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703</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249</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-35</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427</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0,9</w:t>
                  </w:r>
                  <w:r>
                    <w:t xml:space="preserve"> </w:t>
                  </w:r>
                </w:p>
              </w:tc>
            </w:tr>
            <w:tr w:rsidR="006465A6">
              <w:trPr>
                <w:tblCellSpacing w:w="0" w:type="dxa"/>
              </w:trPr>
              <w:tc>
                <w:tcPr>
                  <w:tcW w:w="205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Totaal</w:t>
                  </w:r>
                  <w:r>
                    <w:rPr>
                      <w:sz w:val="20"/>
                      <w:szCs w:val="20"/>
                    </w:rPr>
                    <w:t>:</w:t>
                  </w:r>
                  <w:r>
                    <w:t xml:space="preserve"> </w:t>
                  </w:r>
                </w:p>
              </w:tc>
              <w:tc>
                <w:tcPr>
                  <w:tcW w:w="116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48.009</w:t>
                  </w:r>
                  <w: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68.603</w:t>
                  </w:r>
                  <w:r>
                    <w:t xml:space="preserve"> </w:t>
                  </w:r>
                </w:p>
              </w:tc>
              <w:tc>
                <w:tcPr>
                  <w:tcW w:w="1092"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-20.594</w:t>
                  </w:r>
                  <w:r>
                    <w:t xml:space="preserve"> </w:t>
                  </w:r>
                </w:p>
              </w:tc>
              <w:tc>
                <w:tcPr>
                  <w:tcW w:w="924"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-30,0</w:t>
                  </w:r>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102.186</w:t>
                  </w:r>
                  <w:r>
                    <w:t xml:space="preserve"> </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rStyle w:val="Zwaar"/>
                      <w:sz w:val="20"/>
                      <w:szCs w:val="20"/>
                    </w:rPr>
                    <w:t>2,1</w:t>
                  </w:r>
                  <w:r>
                    <w:t xml:space="preserve"> </w:t>
                  </w:r>
                </w:p>
              </w:tc>
            </w:tr>
            <w:tr w:rsidR="006465A6">
              <w:trPr>
                <w:tblCellSpacing w:w="0" w:type="dxa"/>
              </w:trPr>
              <w:tc>
                <w:tcPr>
                  <w:tcW w:w="9108" w:type="dxa"/>
                  <w:gridSpan w:val="7"/>
                  <w:tcBorders>
                    <w:top w:val="outset" w:sz="6" w:space="0" w:color="auto"/>
                    <w:left w:val="outset" w:sz="6" w:space="0" w:color="auto"/>
                    <w:bottom w:val="outset" w:sz="6" w:space="0" w:color="auto"/>
                    <w:right w:val="outset" w:sz="6" w:space="0" w:color="auto"/>
                  </w:tcBorders>
                  <w:shd w:val="clear" w:color="auto" w:fill="FFFFFF"/>
                  <w:hideMark/>
                </w:tcPr>
                <w:p w:rsidR="006465A6" w:rsidRDefault="006465A6">
                  <w:pPr>
                    <w:pStyle w:val="Normaalweb"/>
                  </w:pPr>
                  <w:r>
                    <w:rPr>
                      <w:sz w:val="20"/>
                      <w:szCs w:val="20"/>
                    </w:rPr>
                    <w:t xml:space="preserve">Bron: </w:t>
                  </w:r>
                  <w:proofErr w:type="spellStart"/>
                  <w:r>
                    <w:rPr>
                      <w:sz w:val="20"/>
                      <w:szCs w:val="20"/>
                    </w:rPr>
                    <w:t>Statistisches</w:t>
                  </w:r>
                  <w:proofErr w:type="spellEnd"/>
                  <w:r>
                    <w:rPr>
                      <w:sz w:val="20"/>
                      <w:szCs w:val="20"/>
                    </w:rPr>
                    <w:t xml:space="preserve"> </w:t>
                  </w:r>
                  <w:proofErr w:type="spellStart"/>
                  <w:r>
                    <w:rPr>
                      <w:sz w:val="20"/>
                      <w:szCs w:val="20"/>
                    </w:rPr>
                    <w:t>Bundesamt</w:t>
                  </w:r>
                  <w:proofErr w:type="spellEnd"/>
                  <w:r>
                    <w:t xml:space="preserve"> </w:t>
                  </w:r>
                </w:p>
              </w:tc>
            </w:tr>
          </w:tbl>
          <w:p w:rsidR="006465A6" w:rsidRDefault="006465A6">
            <w:pPr>
              <w:pStyle w:val="Normaalweb"/>
            </w:pPr>
            <w:r>
              <w:rPr>
                <w:rStyle w:val="Zwaar"/>
                <w:sz w:val="20"/>
                <w:szCs w:val="20"/>
              </w:rPr>
              <w:t>Georgië - Bescheiden exportherstel</w:t>
            </w:r>
            <w:r>
              <w:rPr>
                <w:b/>
                <w:bCs/>
                <w:sz w:val="20"/>
                <w:szCs w:val="20"/>
              </w:rPr>
              <w:br/>
            </w:r>
            <w:r>
              <w:rPr>
                <w:sz w:val="20"/>
                <w:szCs w:val="20"/>
              </w:rPr>
              <w:t xml:space="preserve">Georgië heeft in 2010 wat meer wijn kunnen uitvoeren dan in 2009. Het ging om 15 miljoen flessen, een </w:t>
            </w:r>
            <w:r>
              <w:rPr>
                <w:sz w:val="20"/>
                <w:szCs w:val="20"/>
              </w:rPr>
              <w:lastRenderedPageBreak/>
              <w:t xml:space="preserve">derde meer dan een jaar eerder. Toch is het </w:t>
            </w:r>
            <w:proofErr w:type="spellStart"/>
            <w:r>
              <w:rPr>
                <w:sz w:val="20"/>
                <w:szCs w:val="20"/>
              </w:rPr>
              <w:t>daamee</w:t>
            </w:r>
            <w:proofErr w:type="spellEnd"/>
            <w:r>
              <w:rPr>
                <w:sz w:val="20"/>
                <w:szCs w:val="20"/>
              </w:rPr>
              <w:t xml:space="preserve"> nog ver verwijderd van de 59 miljoen </w:t>
            </w:r>
            <w:proofErr w:type="spellStart"/>
            <w:r>
              <w:rPr>
                <w:sz w:val="20"/>
                <w:szCs w:val="20"/>
              </w:rPr>
              <w:t>flesen</w:t>
            </w:r>
            <w:proofErr w:type="spellEnd"/>
            <w:r>
              <w:rPr>
                <w:sz w:val="20"/>
                <w:szCs w:val="20"/>
              </w:rPr>
              <w:t xml:space="preserve"> in 2008. Problemen met grote buur en traditionele afzetmarkt Rusland deden de buitenlandse verkopen sindsdien compleet in elkaar zakken. </w:t>
            </w:r>
          </w:p>
          <w:p w:rsidR="006465A6" w:rsidRDefault="006465A6">
            <w:pPr>
              <w:pStyle w:val="Normaalweb"/>
            </w:pPr>
            <w:r>
              <w:rPr>
                <w:rStyle w:val="Zwaar"/>
                <w:sz w:val="20"/>
                <w:szCs w:val="20"/>
              </w:rPr>
              <w:t xml:space="preserve">Italië - Numero </w:t>
            </w:r>
            <w:proofErr w:type="spellStart"/>
            <w:r>
              <w:rPr>
                <w:rStyle w:val="Zwaar"/>
                <w:sz w:val="20"/>
                <w:szCs w:val="20"/>
              </w:rPr>
              <w:t>uno</w:t>
            </w:r>
            <w:proofErr w:type="spellEnd"/>
            <w:r>
              <w:rPr>
                <w:rStyle w:val="Zwaar"/>
                <w:sz w:val="20"/>
                <w:szCs w:val="20"/>
              </w:rPr>
              <w:t xml:space="preserve"> voor mousserend</w:t>
            </w:r>
            <w:r>
              <w:rPr>
                <w:b/>
                <w:bCs/>
                <w:sz w:val="20"/>
                <w:szCs w:val="20"/>
              </w:rPr>
              <w:br/>
            </w:r>
            <w:r>
              <w:rPr>
                <w:sz w:val="20"/>
                <w:szCs w:val="20"/>
              </w:rPr>
              <w:t xml:space="preserve">Italië mag zich momenteel ´s werelds grootste producent van mousserende wijnen noemen. In 2010 was het goed voor 380 miljoen flessen bubbels tegen 370 miljoen voor runner up Frankrijk. De koppositie wordt mede verklaard door zowel het drinkgedrag van de Italianen zelf als sterk stijgende exporten van </w:t>
            </w:r>
            <w:proofErr w:type="spellStart"/>
            <w:r>
              <w:rPr>
                <w:sz w:val="20"/>
                <w:szCs w:val="20"/>
              </w:rPr>
              <w:t>spumante</w:t>
            </w:r>
            <w:proofErr w:type="spellEnd"/>
            <w:r>
              <w:rPr>
                <w:sz w:val="20"/>
                <w:szCs w:val="20"/>
              </w:rPr>
              <w:t>.</w:t>
            </w:r>
            <w:r>
              <w:t xml:space="preserve"> </w:t>
            </w:r>
          </w:p>
          <w:p w:rsidR="006465A6" w:rsidRDefault="006465A6">
            <w:pPr>
              <w:pStyle w:val="Normaalweb"/>
            </w:pPr>
            <w:r>
              <w:rPr>
                <w:rStyle w:val="Zwaar"/>
                <w:sz w:val="20"/>
                <w:szCs w:val="20"/>
              </w:rPr>
              <w:t>Nieuw-Zeeland - 20% biologisch in 2020?</w:t>
            </w:r>
            <w:r>
              <w:rPr>
                <w:b/>
                <w:bCs/>
                <w:sz w:val="20"/>
                <w:szCs w:val="20"/>
              </w:rPr>
              <w:br/>
            </w:r>
            <w:r>
              <w:rPr>
                <w:sz w:val="20"/>
                <w:szCs w:val="20"/>
              </w:rPr>
              <w:t xml:space="preserve">De Nieuw-Zeelandse organisatie van biologisch of biologisch-dynamisch werkende wijnproducenten, </w:t>
            </w:r>
            <w:proofErr w:type="spellStart"/>
            <w:r>
              <w:rPr>
                <w:sz w:val="20"/>
                <w:szCs w:val="20"/>
              </w:rPr>
              <w:t>Organic</w:t>
            </w:r>
            <w:proofErr w:type="spellEnd"/>
            <w:r>
              <w:rPr>
                <w:sz w:val="20"/>
                <w:szCs w:val="20"/>
              </w:rPr>
              <w:t xml:space="preserve"> </w:t>
            </w:r>
            <w:proofErr w:type="spellStart"/>
            <w:r>
              <w:rPr>
                <w:sz w:val="20"/>
                <w:szCs w:val="20"/>
              </w:rPr>
              <w:t>Winegrowers</w:t>
            </w:r>
            <w:proofErr w:type="spellEnd"/>
            <w:r>
              <w:rPr>
                <w:sz w:val="20"/>
                <w:szCs w:val="20"/>
              </w:rPr>
              <w:t xml:space="preserve"> New </w:t>
            </w:r>
            <w:proofErr w:type="spellStart"/>
            <w:r>
              <w:rPr>
                <w:sz w:val="20"/>
                <w:szCs w:val="20"/>
              </w:rPr>
              <w:t>Zealand</w:t>
            </w:r>
            <w:proofErr w:type="spellEnd"/>
            <w:r>
              <w:rPr>
                <w:sz w:val="20"/>
                <w:szCs w:val="20"/>
              </w:rPr>
              <w:t xml:space="preserve"> (OWNZ) heeft de ambitie uitgesproken dat in 2020 een vijfde van alle wijngaarden in hun land voor het predicaat </w:t>
            </w:r>
            <w:proofErr w:type="spellStart"/>
            <w:r>
              <w:rPr>
                <w:sz w:val="20"/>
                <w:szCs w:val="20"/>
              </w:rPr>
              <w:t>organic</w:t>
            </w:r>
            <w:proofErr w:type="spellEnd"/>
            <w:r>
              <w:rPr>
                <w:sz w:val="20"/>
                <w:szCs w:val="20"/>
              </w:rPr>
              <w:t xml:space="preserve"> in aanmerking zouden moeten komen. De OWNZ telt ongeveer 140 leden.</w:t>
            </w:r>
            <w:r>
              <w:t xml:space="preserve"> </w:t>
            </w:r>
          </w:p>
          <w:p w:rsidR="006465A6" w:rsidRDefault="006465A6">
            <w:pPr>
              <w:pStyle w:val="Normaalweb"/>
            </w:pPr>
            <w:r>
              <w:rPr>
                <w:rStyle w:val="Zwaar"/>
                <w:sz w:val="20"/>
                <w:szCs w:val="20"/>
              </w:rPr>
              <w:t>Spanje - Dramatische daling binnenlandse wijnconsumptie</w:t>
            </w:r>
            <w:r>
              <w:rPr>
                <w:b/>
                <w:bCs/>
                <w:sz w:val="20"/>
                <w:szCs w:val="20"/>
              </w:rPr>
              <w:br/>
            </w:r>
            <w:r>
              <w:rPr>
                <w:sz w:val="20"/>
                <w:szCs w:val="20"/>
              </w:rPr>
              <w:t xml:space="preserve">Hoewel Spaanse wijnen internationaal in trek zijn, vertoont de thuismarkt al jaren een zorgwekkende ontwikkeling. Spanjaarden drinken al maar minder wijn. Ondanks de opkomst van nieuwe regio´s als </w:t>
            </w:r>
            <w:proofErr w:type="spellStart"/>
            <w:r>
              <w:rPr>
                <w:sz w:val="20"/>
                <w:szCs w:val="20"/>
              </w:rPr>
              <w:t>Ribera</w:t>
            </w:r>
            <w:proofErr w:type="spellEnd"/>
            <w:r>
              <w:rPr>
                <w:sz w:val="20"/>
                <w:szCs w:val="20"/>
              </w:rPr>
              <w:t xml:space="preserve"> del </w:t>
            </w:r>
            <w:proofErr w:type="spellStart"/>
            <w:r>
              <w:rPr>
                <w:sz w:val="20"/>
                <w:szCs w:val="20"/>
              </w:rPr>
              <w:t>Duero</w:t>
            </w:r>
            <w:proofErr w:type="spellEnd"/>
            <w:r>
              <w:rPr>
                <w:sz w:val="20"/>
                <w:szCs w:val="20"/>
              </w:rPr>
              <w:t xml:space="preserve"> en </w:t>
            </w:r>
            <w:proofErr w:type="spellStart"/>
            <w:r>
              <w:rPr>
                <w:sz w:val="20"/>
                <w:szCs w:val="20"/>
              </w:rPr>
              <w:t>Rías</w:t>
            </w:r>
            <w:proofErr w:type="spellEnd"/>
            <w:r>
              <w:rPr>
                <w:sz w:val="20"/>
                <w:szCs w:val="20"/>
              </w:rPr>
              <w:t xml:space="preserve"> </w:t>
            </w:r>
            <w:proofErr w:type="spellStart"/>
            <w:r>
              <w:rPr>
                <w:sz w:val="20"/>
                <w:szCs w:val="20"/>
              </w:rPr>
              <w:t>Baixas</w:t>
            </w:r>
            <w:proofErr w:type="spellEnd"/>
            <w:r>
              <w:rPr>
                <w:sz w:val="20"/>
                <w:szCs w:val="20"/>
              </w:rPr>
              <w:t xml:space="preserve"> is de gemiddelde consumptie per hoofd van de bevolking gedaald tot nog maar 18 liter op jaarbasis. Voor een groot producerend land is dat extreem weinig, zeker in vergelijking met landen als Frankrijk, Italië en Portugal waar twee- tot driemaal zo veel gedronken wordt. Begin jaren tachtig dronken de Spanjaarden gemiddeld nog 50 liter wijn per jaar en ongeveer evenveel bier. Tegenwoordig is de verhouding 1:3. Het grote probleem is het negatieve imago van wijn bij jongere consumenten. </w:t>
            </w:r>
          </w:p>
          <w:p w:rsidR="006465A6" w:rsidRDefault="006465A6">
            <w:pPr>
              <w:pStyle w:val="Normaalweb"/>
            </w:pPr>
            <w:r>
              <w:rPr>
                <w:rStyle w:val="Zwaar"/>
                <w:sz w:val="20"/>
                <w:szCs w:val="20"/>
              </w:rPr>
              <w:t>Spanje - In twee jaar bijna 70.000 hectare wijngaard gerooid</w:t>
            </w:r>
            <w:r>
              <w:rPr>
                <w:b/>
                <w:bCs/>
                <w:sz w:val="20"/>
                <w:szCs w:val="20"/>
              </w:rPr>
              <w:br/>
            </w:r>
            <w:r>
              <w:rPr>
                <w:sz w:val="20"/>
                <w:szCs w:val="20"/>
              </w:rPr>
              <w:t xml:space="preserve">Tijdens de afgelopen twee campagnejaren zijn in Spanje 68.500 hectare wijngaard gerooid. Dit komt overeen met 6,1 % van de totale aanplant in augustus 2008. In die maand ging de door de Europese Unie gesubsidieerde rooicampagne van start. Vooral in het eerste jaar (2008-2009) is op grote schaal en in vrijwel alle regio´s gebruik gemaakt van de regeling. De meeste stokken verdwenen in </w:t>
            </w:r>
            <w:proofErr w:type="spellStart"/>
            <w:r>
              <w:rPr>
                <w:sz w:val="20"/>
                <w:szCs w:val="20"/>
              </w:rPr>
              <w:t>Castilla-La</w:t>
            </w:r>
            <w:proofErr w:type="spellEnd"/>
            <w:r>
              <w:rPr>
                <w:sz w:val="20"/>
                <w:szCs w:val="20"/>
              </w:rPr>
              <w:t xml:space="preserve"> </w:t>
            </w:r>
            <w:proofErr w:type="spellStart"/>
            <w:r>
              <w:rPr>
                <w:sz w:val="20"/>
                <w:szCs w:val="20"/>
              </w:rPr>
              <w:t>Mancha</w:t>
            </w:r>
            <w:proofErr w:type="spellEnd"/>
            <w:r>
              <w:rPr>
                <w:sz w:val="20"/>
                <w:szCs w:val="20"/>
              </w:rPr>
              <w:t>: 31.000 ha in 2008-2009 en 18.344 ha in 2009-2010, samen dus bijna 50.000 hectare. Voor het campagnejaar 2010-2011 wordt het rooien van nog eens 15.000 tot 20.000 ha verwacht.</w:t>
            </w:r>
            <w:r>
              <w:t xml:space="preserve"> </w:t>
            </w:r>
          </w:p>
          <w:p w:rsidR="006465A6" w:rsidRDefault="006465A6">
            <w:pPr>
              <w:pStyle w:val="Normaalweb"/>
            </w:pPr>
            <w:r>
              <w:rPr>
                <w:rStyle w:val="Zwaar"/>
                <w:sz w:val="20"/>
                <w:szCs w:val="20"/>
              </w:rPr>
              <w:t>Zuid-Afrika - Oogst 2011 groter dan die van 2010</w:t>
            </w:r>
            <w:r>
              <w:rPr>
                <w:b/>
                <w:bCs/>
                <w:sz w:val="20"/>
                <w:szCs w:val="20"/>
              </w:rPr>
              <w:br/>
            </w:r>
            <w:r>
              <w:rPr>
                <w:sz w:val="20"/>
                <w:szCs w:val="20"/>
              </w:rPr>
              <w:t xml:space="preserve">Naar het zich laat aanzien zal de Zuid-Afrikaanse wijnoogst 2011 in vrijwel alle gebieden flink ruimer uitvallen dan die van 2010. Alleen Oranje Rivier vertoont een afwijkend beeld. De eerste ramingen gaan uit van 1,35 miljoen ton druiven, wat neerkomt op een plus van 7,3% ten opzichte van afgelopen jaar. Het record uit 2008 van 1,426 miljoen ton zal niet geëvenaard worden. Afhankelijk van de regio komen de opbrengsten in 2011 tussen 4 en 18% hoger te liggen dan in 2010. Oranje Rivier, een belangrijke producent van bulkwijnen die in 2010 juist heel goed presteerde, zal het dit jaar met 9% minder moeten doen. Positieve factor voor de Zuid-Afrikaanse oogst 2011 zijn de gunstige meteorologische condities tijdens het groeiseizoen. </w:t>
            </w:r>
          </w:p>
        </w:tc>
      </w:tr>
    </w:tbl>
    <w:p w:rsidR="006465A6" w:rsidRDefault="006465A6" w:rsidP="006465A6">
      <w:pPr>
        <w:pStyle w:val="Normaalweb"/>
      </w:pPr>
      <w:r>
        <w:rPr>
          <w:rStyle w:val="Zwaar"/>
          <w:sz w:val="20"/>
          <w:szCs w:val="20"/>
        </w:rPr>
        <w:lastRenderedPageBreak/>
        <w:t xml:space="preserve">Argentinië - Oogst 2011 groter dan 2010 </w:t>
      </w:r>
      <w:r>
        <w:rPr>
          <w:b/>
          <w:bCs/>
          <w:sz w:val="20"/>
          <w:szCs w:val="20"/>
        </w:rPr>
        <w:br/>
      </w:r>
      <w:r>
        <w:rPr>
          <w:sz w:val="20"/>
          <w:szCs w:val="20"/>
        </w:rPr>
        <w:t xml:space="preserve">Na een qua volume uiterst bescheiden uitgevallen oogst 2010 ziet het er volgens de stand van eind december naar uit dat Argentinië 2011 circa 2,77 miljoen ton druiven zal kunnen plukken. Dat zou 6,2 % meer zijn dan vorig jaar. In </w:t>
      </w:r>
      <w:proofErr w:type="spellStart"/>
      <w:r>
        <w:rPr>
          <w:sz w:val="20"/>
          <w:szCs w:val="20"/>
        </w:rPr>
        <w:t>Mendoza</w:t>
      </w:r>
      <w:proofErr w:type="spellEnd"/>
      <w:r>
        <w:rPr>
          <w:sz w:val="20"/>
          <w:szCs w:val="20"/>
        </w:rPr>
        <w:t xml:space="preserve">, verreweg het belangrijkste wijngebied, blijft de stijging beperkt tot maar 1,7% bij een verwachte opbrengst van 1,84 miljoen ton. Deelgebieden als </w:t>
      </w:r>
      <w:proofErr w:type="spellStart"/>
      <w:r>
        <w:rPr>
          <w:sz w:val="20"/>
          <w:szCs w:val="20"/>
        </w:rPr>
        <w:t>Valle</w:t>
      </w:r>
      <w:proofErr w:type="spellEnd"/>
      <w:r>
        <w:rPr>
          <w:sz w:val="20"/>
          <w:szCs w:val="20"/>
        </w:rPr>
        <w:t xml:space="preserve"> de </w:t>
      </w:r>
      <w:proofErr w:type="spellStart"/>
      <w:r>
        <w:rPr>
          <w:sz w:val="20"/>
          <w:szCs w:val="20"/>
        </w:rPr>
        <w:t>Uco</w:t>
      </w:r>
      <w:proofErr w:type="spellEnd"/>
      <w:r>
        <w:rPr>
          <w:sz w:val="20"/>
          <w:szCs w:val="20"/>
        </w:rPr>
        <w:t xml:space="preserve"> en </w:t>
      </w:r>
      <w:proofErr w:type="spellStart"/>
      <w:r>
        <w:rPr>
          <w:sz w:val="20"/>
          <w:szCs w:val="20"/>
        </w:rPr>
        <w:t>Lavalle</w:t>
      </w:r>
      <w:proofErr w:type="spellEnd"/>
      <w:r>
        <w:rPr>
          <w:sz w:val="20"/>
          <w:szCs w:val="20"/>
        </w:rPr>
        <w:t xml:space="preserve"> hadden daar namelijk te lijden onder late nachtvorst. Voor San Juan wordt een opbrengst van 767 duizend ton geraamd, 17,7 meer dan in 2010. In de overige regio´s zal gemiddeld 6% meer geoogst worden. Afgelopen jaar moest Argentinië vanwege de krapte op de bulkmarkt nog wijn importeren. </w:t>
      </w:r>
    </w:p>
    <w:p w:rsidR="00810FAE" w:rsidRDefault="006465A6" w:rsidP="006465A6">
      <w:pPr>
        <w:pStyle w:val="Normaalweb"/>
      </w:pPr>
      <w:r>
        <w:rPr>
          <w:rStyle w:val="Zwaar"/>
          <w:sz w:val="20"/>
          <w:szCs w:val="20"/>
        </w:rPr>
        <w:t xml:space="preserve">Australië - Nieuw wijnbouwgebied Mount </w:t>
      </w:r>
      <w:proofErr w:type="spellStart"/>
      <w:r>
        <w:rPr>
          <w:rStyle w:val="Zwaar"/>
          <w:sz w:val="20"/>
          <w:szCs w:val="20"/>
        </w:rPr>
        <w:t>Gambier</w:t>
      </w:r>
      <w:proofErr w:type="spellEnd"/>
      <w:r>
        <w:rPr>
          <w:b/>
          <w:bCs/>
          <w:sz w:val="20"/>
          <w:szCs w:val="20"/>
        </w:rPr>
        <w:br/>
      </w:r>
      <w:r>
        <w:rPr>
          <w:sz w:val="20"/>
          <w:szCs w:val="20"/>
        </w:rPr>
        <w:t xml:space="preserve">Mount </w:t>
      </w:r>
      <w:proofErr w:type="spellStart"/>
      <w:r>
        <w:rPr>
          <w:sz w:val="20"/>
          <w:szCs w:val="20"/>
        </w:rPr>
        <w:t>Gambier</w:t>
      </w:r>
      <w:proofErr w:type="spellEnd"/>
      <w:r>
        <w:rPr>
          <w:sz w:val="20"/>
          <w:szCs w:val="20"/>
        </w:rPr>
        <w:t xml:space="preserve"> is het meest recente officieel erkende wijnbouwgebied van Australië. Het ligt in </w:t>
      </w:r>
      <w:proofErr w:type="spellStart"/>
      <w:r>
        <w:rPr>
          <w:sz w:val="20"/>
          <w:szCs w:val="20"/>
        </w:rPr>
        <w:t>South</w:t>
      </w:r>
      <w:proofErr w:type="spellEnd"/>
      <w:r>
        <w:rPr>
          <w:sz w:val="20"/>
          <w:szCs w:val="20"/>
        </w:rPr>
        <w:t xml:space="preserve"> Australia, niet ver van </w:t>
      </w:r>
      <w:proofErr w:type="spellStart"/>
      <w:r>
        <w:rPr>
          <w:sz w:val="20"/>
          <w:szCs w:val="20"/>
        </w:rPr>
        <w:t>Coonawarra</w:t>
      </w:r>
      <w:proofErr w:type="spellEnd"/>
      <w:r>
        <w:rPr>
          <w:sz w:val="20"/>
          <w:szCs w:val="20"/>
        </w:rPr>
        <w:t xml:space="preserve">, en geldt als de koelste zone op het vasteland. Wind van zee en mist zorgen ervoor dat Mount </w:t>
      </w:r>
      <w:proofErr w:type="spellStart"/>
      <w:r>
        <w:rPr>
          <w:sz w:val="20"/>
          <w:szCs w:val="20"/>
        </w:rPr>
        <w:t>Gambier</w:t>
      </w:r>
      <w:proofErr w:type="spellEnd"/>
      <w:r>
        <w:rPr>
          <w:sz w:val="20"/>
          <w:szCs w:val="20"/>
        </w:rPr>
        <w:t xml:space="preserve"> de laagste maximumtemperaturen van Australië heeft en een lang groeiseizoen. De regio telt momenteel twintig productieve wijngaarden, maar naar verwachting zal dit aantal gaan toenemen omdat </w:t>
      </w:r>
      <w:proofErr w:type="spellStart"/>
      <w:r>
        <w:rPr>
          <w:sz w:val="20"/>
          <w:szCs w:val="20"/>
        </w:rPr>
        <w:t>cool</w:t>
      </w:r>
      <w:proofErr w:type="spellEnd"/>
      <w:r>
        <w:rPr>
          <w:sz w:val="20"/>
          <w:szCs w:val="20"/>
        </w:rPr>
        <w:t xml:space="preserve"> </w:t>
      </w:r>
      <w:proofErr w:type="spellStart"/>
      <w:r>
        <w:rPr>
          <w:sz w:val="20"/>
          <w:szCs w:val="20"/>
        </w:rPr>
        <w:t>climate</w:t>
      </w:r>
      <w:proofErr w:type="spellEnd"/>
      <w:r>
        <w:rPr>
          <w:sz w:val="20"/>
          <w:szCs w:val="20"/>
        </w:rPr>
        <w:t xml:space="preserve"> fruit steeds meer in trek raakt voor de productie van hoogwaardige wijnen. </w:t>
      </w:r>
    </w:p>
    <w:sectPr w:rsidR="00810FAE" w:rsidSect="006465A6">
      <w:pgSz w:w="11906" w:h="16838"/>
      <w:pgMar w:top="1135"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mercialScriptTwo">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65A6"/>
    <w:rsid w:val="000850C4"/>
    <w:rsid w:val="000B4051"/>
    <w:rsid w:val="003B6074"/>
    <w:rsid w:val="004A70B6"/>
    <w:rsid w:val="006465A6"/>
    <w:rsid w:val="006720B6"/>
    <w:rsid w:val="007A59B9"/>
    <w:rsid w:val="00961C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65A6"/>
    <w:pPr>
      <w:spacing w:after="0" w:line="240" w:lineRule="auto"/>
      <w:jc w:val="left"/>
    </w:pPr>
    <w:rPr>
      <w:rFonts w:ascii="Times New Roman" w:hAnsi="Times New Roman" w:cs="Times New Roman"/>
      <w:sz w:val="24"/>
      <w:szCs w:val="24"/>
      <w:lang w:eastAsia="nl-BE"/>
    </w:rPr>
  </w:style>
  <w:style w:type="paragraph" w:styleId="Kop3">
    <w:name w:val="heading 3"/>
    <w:basedOn w:val="Standaard"/>
    <w:link w:val="Kop3Char"/>
    <w:uiPriority w:val="9"/>
    <w:semiHidden/>
    <w:unhideWhenUsed/>
    <w:qFormat/>
    <w:rsid w:val="006465A6"/>
    <w:pPr>
      <w:spacing w:before="100" w:beforeAutospacing="1" w:after="100" w:afterAutospacing="1"/>
      <w:outlineLvl w:val="2"/>
    </w:pPr>
    <w:rPr>
      <w:b/>
      <w:bCs/>
      <w:color w:val="B20360"/>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6465A6"/>
    <w:rPr>
      <w:rFonts w:ascii="Times New Roman" w:hAnsi="Times New Roman" w:cs="Times New Roman"/>
      <w:b/>
      <w:bCs/>
      <w:color w:val="B20360"/>
      <w:sz w:val="17"/>
      <w:szCs w:val="17"/>
      <w:lang w:eastAsia="nl-BE"/>
    </w:rPr>
  </w:style>
  <w:style w:type="paragraph" w:styleId="Normaalweb">
    <w:name w:val="Normal (Web)"/>
    <w:basedOn w:val="Standaard"/>
    <w:uiPriority w:val="99"/>
    <w:unhideWhenUsed/>
    <w:rsid w:val="006465A6"/>
    <w:pPr>
      <w:spacing w:before="100" w:beforeAutospacing="1" w:after="100" w:afterAutospacing="1"/>
    </w:pPr>
    <w:rPr>
      <w:rFonts w:ascii="Arial" w:hAnsi="Arial" w:cs="Arial"/>
      <w:sz w:val="14"/>
      <w:szCs w:val="14"/>
    </w:rPr>
  </w:style>
  <w:style w:type="character" w:styleId="Zwaar">
    <w:name w:val="Strong"/>
    <w:basedOn w:val="Standaardalinea-lettertype"/>
    <w:uiPriority w:val="22"/>
    <w:qFormat/>
    <w:rsid w:val="006465A6"/>
    <w:rPr>
      <w:b/>
      <w:bCs/>
    </w:rPr>
  </w:style>
  <w:style w:type="paragraph" w:styleId="Ballontekst">
    <w:name w:val="Balloon Text"/>
    <w:basedOn w:val="Standaard"/>
    <w:link w:val="BallontekstChar"/>
    <w:uiPriority w:val="99"/>
    <w:semiHidden/>
    <w:unhideWhenUsed/>
    <w:rsid w:val="006465A6"/>
    <w:rPr>
      <w:rFonts w:ascii="Tahoma" w:hAnsi="Tahoma" w:cs="Tahoma"/>
      <w:sz w:val="16"/>
      <w:szCs w:val="16"/>
    </w:rPr>
  </w:style>
  <w:style w:type="character" w:customStyle="1" w:styleId="BallontekstChar">
    <w:name w:val="Ballontekst Char"/>
    <w:basedOn w:val="Standaardalinea-lettertype"/>
    <w:link w:val="Ballontekst"/>
    <w:uiPriority w:val="99"/>
    <w:semiHidden/>
    <w:rsid w:val="006465A6"/>
    <w:rPr>
      <w:rFonts w:ascii="Tahoma" w:hAnsi="Tahoma" w:cs="Tahoma"/>
      <w:sz w:val="16"/>
      <w:szCs w:val="16"/>
      <w:lang w:eastAsia="nl-BE"/>
    </w:rPr>
  </w:style>
</w:styles>
</file>

<file path=word/webSettings.xml><?xml version="1.0" encoding="utf-8"?>
<w:webSettings xmlns:r="http://schemas.openxmlformats.org/officeDocument/2006/relationships" xmlns:w="http://schemas.openxmlformats.org/wordprocessingml/2006/main">
  <w:divs>
    <w:div w:id="7205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1749</Words>
  <Characters>9621</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Dooms-Keppens</dc:creator>
  <cp:lastModifiedBy>Dooms-Keppens</cp:lastModifiedBy>
  <cp:revision>1</cp:revision>
  <dcterms:created xsi:type="dcterms:W3CDTF">2011-01-21T19:02:00Z</dcterms:created>
  <dcterms:modified xsi:type="dcterms:W3CDTF">2011-01-21T19:08:00Z</dcterms:modified>
</cp:coreProperties>
</file>