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56A7" w:rsidRDefault="003656A7">
      <w:r>
        <w:rPr>
          <w:noProof/>
          <w:color w:val="0000FF"/>
          <w:lang w:eastAsia="nl-BE"/>
        </w:rPr>
        <w:drawing>
          <wp:inline distT="0" distB="0" distL="0" distR="0">
            <wp:extent cx="3543300" cy="2657475"/>
            <wp:effectExtent l="19050" t="0" r="0" b="0"/>
            <wp:docPr id="1" name="Afbeelding 1" descr="Bestand:Gray726-Brodman.pn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stand:Gray726-Brodman.png">
                      <a:hlinkClick r:id="rId4"/>
                    </pic:cNvPr>
                    <pic:cNvPicPr>
                      <a:picLocks noChangeAspect="1" noChangeArrowheads="1"/>
                    </pic:cNvPicPr>
                  </pic:nvPicPr>
                  <pic:blipFill>
                    <a:blip r:embed="rId5" cstate="print"/>
                    <a:srcRect/>
                    <a:stretch>
                      <a:fillRect/>
                    </a:stretch>
                  </pic:blipFill>
                  <pic:spPr bwMode="auto">
                    <a:xfrm>
                      <a:off x="0" y="0"/>
                      <a:ext cx="3544616" cy="2658462"/>
                    </a:xfrm>
                    <a:prstGeom prst="rect">
                      <a:avLst/>
                    </a:prstGeom>
                    <a:noFill/>
                    <a:ln w="9525">
                      <a:noFill/>
                      <a:miter lim="800000"/>
                      <a:headEnd/>
                      <a:tailEnd/>
                    </a:ln>
                  </pic:spPr>
                </pic:pic>
              </a:graphicData>
            </a:graphic>
          </wp:inline>
        </w:drawing>
      </w:r>
    </w:p>
    <w:p w:rsidR="003656A7" w:rsidRDefault="003656A7" w:rsidP="003656A7">
      <w:pPr>
        <w:rPr>
          <w:lang w:val="nl-NL"/>
        </w:rPr>
      </w:pPr>
      <w:r>
        <w:rPr>
          <w:lang w:val="nl-NL"/>
        </w:rPr>
        <w:t xml:space="preserve">De </w:t>
      </w:r>
      <w:r>
        <w:rPr>
          <w:b/>
          <w:bCs/>
          <w:lang w:val="nl-NL"/>
        </w:rPr>
        <w:t xml:space="preserve">posterieure </w:t>
      </w:r>
      <w:proofErr w:type="spellStart"/>
      <w:r>
        <w:rPr>
          <w:b/>
          <w:bCs/>
          <w:lang w:val="nl-NL"/>
        </w:rPr>
        <w:t>pariëtale</w:t>
      </w:r>
      <w:proofErr w:type="spellEnd"/>
      <w:r>
        <w:rPr>
          <w:b/>
          <w:bCs/>
          <w:lang w:val="nl-NL"/>
        </w:rPr>
        <w:t xml:space="preserve"> cortex</w:t>
      </w:r>
      <w:r>
        <w:rPr>
          <w:lang w:val="nl-NL"/>
        </w:rPr>
        <w:t xml:space="preserve"> (PPC) of </w:t>
      </w:r>
      <w:r>
        <w:rPr>
          <w:b/>
          <w:bCs/>
          <w:lang w:val="nl-NL"/>
        </w:rPr>
        <w:t xml:space="preserve">cortex </w:t>
      </w:r>
      <w:proofErr w:type="spellStart"/>
      <w:r>
        <w:rPr>
          <w:b/>
          <w:bCs/>
          <w:lang w:val="nl-NL"/>
        </w:rPr>
        <w:t>parietalis</w:t>
      </w:r>
      <w:proofErr w:type="spellEnd"/>
      <w:r>
        <w:rPr>
          <w:b/>
          <w:bCs/>
          <w:lang w:val="nl-NL"/>
        </w:rPr>
        <w:t xml:space="preserve"> </w:t>
      </w:r>
      <w:proofErr w:type="spellStart"/>
      <w:r>
        <w:rPr>
          <w:b/>
          <w:bCs/>
          <w:lang w:val="nl-NL"/>
        </w:rPr>
        <w:t>posterior</w:t>
      </w:r>
      <w:proofErr w:type="spellEnd"/>
      <w:r>
        <w:rPr>
          <w:lang w:val="nl-NL"/>
        </w:rPr>
        <w:t xml:space="preserve"> </w:t>
      </w:r>
      <w:r w:rsidRPr="003656A7">
        <w:rPr>
          <w:lang w:val="nl-NL"/>
        </w:rPr>
        <w:t xml:space="preserve">is een onderdeel van de </w:t>
      </w:r>
      <w:hyperlink r:id="rId6" w:tooltip="Pariëtale kwab" w:history="1">
        <w:proofErr w:type="spellStart"/>
        <w:r w:rsidRPr="003656A7">
          <w:rPr>
            <w:rStyle w:val="Hyperlink"/>
            <w:color w:val="auto"/>
            <w:u w:val="none"/>
            <w:lang w:val="nl-NL"/>
          </w:rPr>
          <w:t>pariëtale</w:t>
        </w:r>
        <w:proofErr w:type="spellEnd"/>
        <w:r w:rsidRPr="003656A7">
          <w:rPr>
            <w:rStyle w:val="Hyperlink"/>
            <w:color w:val="auto"/>
            <w:u w:val="none"/>
            <w:lang w:val="nl-NL"/>
          </w:rPr>
          <w:t xml:space="preserve"> kwab</w:t>
        </w:r>
      </w:hyperlink>
      <w:r w:rsidRPr="003656A7">
        <w:rPr>
          <w:lang w:val="nl-NL"/>
        </w:rPr>
        <w:t xml:space="preserve"> en omvat de gebieden 5, 7, 39 en 40 van </w:t>
      </w:r>
      <w:hyperlink r:id="rId7" w:tooltip="Brodmann" w:history="1">
        <w:proofErr w:type="spellStart"/>
        <w:r w:rsidRPr="003656A7">
          <w:rPr>
            <w:rStyle w:val="Hyperlink"/>
            <w:color w:val="auto"/>
            <w:u w:val="none"/>
            <w:lang w:val="nl-NL"/>
          </w:rPr>
          <w:t>Brodmann</w:t>
        </w:r>
        <w:proofErr w:type="spellEnd"/>
      </w:hyperlink>
      <w:r w:rsidRPr="003656A7">
        <w:rPr>
          <w:lang w:val="nl-NL"/>
        </w:rPr>
        <w:t>.</w:t>
      </w:r>
    </w:p>
    <w:p w:rsidR="003656A7" w:rsidRPr="003656A7" w:rsidRDefault="003656A7" w:rsidP="003656A7">
      <w:pPr>
        <w:rPr>
          <w:lang w:val="nl-NL"/>
        </w:rPr>
      </w:pPr>
      <w:r w:rsidRPr="003656A7">
        <w:rPr>
          <w:lang w:val="nl-NL"/>
        </w:rPr>
        <w:t xml:space="preserve">De motorische schors is het meest naar achteren gelegen deel van frontale kwab, gelegen voor de </w:t>
      </w:r>
      <w:hyperlink r:id="rId8" w:tooltip="Sulcus centralis" w:history="1">
        <w:proofErr w:type="spellStart"/>
        <w:r w:rsidRPr="003656A7">
          <w:rPr>
            <w:rStyle w:val="Hyperlink"/>
            <w:color w:val="auto"/>
            <w:u w:val="none"/>
            <w:lang w:val="nl-NL"/>
          </w:rPr>
          <w:t>sulcus</w:t>
        </w:r>
        <w:proofErr w:type="spellEnd"/>
        <w:r w:rsidRPr="003656A7">
          <w:rPr>
            <w:rStyle w:val="Hyperlink"/>
            <w:color w:val="auto"/>
            <w:u w:val="none"/>
            <w:lang w:val="nl-NL"/>
          </w:rPr>
          <w:t xml:space="preserve"> centralis</w:t>
        </w:r>
      </w:hyperlink>
      <w:r w:rsidRPr="003656A7">
        <w:rPr>
          <w:lang w:val="nl-NL"/>
        </w:rPr>
        <w:t xml:space="preserve">. Hij omvat respectievelijk de </w:t>
      </w:r>
      <w:hyperlink r:id="rId9" w:tooltip="Primaire motorische schors (de pagina bestaat niet)" w:history="1">
        <w:r w:rsidRPr="003656A7">
          <w:rPr>
            <w:rStyle w:val="Hyperlink"/>
            <w:color w:val="auto"/>
            <w:u w:val="none"/>
            <w:lang w:val="nl-NL"/>
          </w:rPr>
          <w:t>primaire motorische schors</w:t>
        </w:r>
      </w:hyperlink>
      <w:r w:rsidRPr="003656A7">
        <w:rPr>
          <w:lang w:val="nl-NL"/>
        </w:rPr>
        <w:t xml:space="preserve"> (</w:t>
      </w:r>
      <w:proofErr w:type="spellStart"/>
      <w:r w:rsidRPr="003656A7">
        <w:rPr>
          <w:lang w:val="nl-NL"/>
        </w:rPr>
        <w:fldChar w:fldCharType="begin"/>
      </w:r>
      <w:r w:rsidRPr="003656A7">
        <w:rPr>
          <w:lang w:val="nl-NL"/>
        </w:rPr>
        <w:instrText xml:space="preserve"> HYPERLINK "http://nl.wikipedia.org/wiki/Gebied_van_Brodmann" \o "Gebied van Brodmann" </w:instrText>
      </w:r>
      <w:r w:rsidRPr="003656A7">
        <w:rPr>
          <w:lang w:val="nl-NL"/>
        </w:rPr>
        <w:fldChar w:fldCharType="separate"/>
      </w:r>
      <w:r w:rsidRPr="003656A7">
        <w:rPr>
          <w:rStyle w:val="Hyperlink"/>
          <w:color w:val="auto"/>
          <w:u w:val="none"/>
          <w:lang w:val="nl-NL"/>
        </w:rPr>
        <w:t>Brodmanngebied</w:t>
      </w:r>
      <w:proofErr w:type="spellEnd"/>
      <w:r w:rsidRPr="003656A7">
        <w:rPr>
          <w:lang w:val="nl-NL"/>
        </w:rPr>
        <w:fldChar w:fldCharType="end"/>
      </w:r>
      <w:r w:rsidRPr="003656A7">
        <w:rPr>
          <w:lang w:val="nl-NL"/>
        </w:rPr>
        <w:t xml:space="preserve"> 4, soms ook M1 genoemd), gedeeltelijk gelegen in de </w:t>
      </w:r>
      <w:hyperlink r:id="rId10" w:tooltip="Sulcus centralis" w:history="1">
        <w:proofErr w:type="spellStart"/>
        <w:r w:rsidRPr="003656A7">
          <w:rPr>
            <w:rStyle w:val="Hyperlink"/>
            <w:color w:val="auto"/>
            <w:u w:val="none"/>
            <w:lang w:val="nl-NL"/>
          </w:rPr>
          <w:t>sulcus</w:t>
        </w:r>
        <w:proofErr w:type="spellEnd"/>
        <w:r w:rsidRPr="003656A7">
          <w:rPr>
            <w:rStyle w:val="Hyperlink"/>
            <w:color w:val="auto"/>
            <w:u w:val="none"/>
            <w:lang w:val="nl-NL"/>
          </w:rPr>
          <w:t xml:space="preserve"> centralis</w:t>
        </w:r>
      </w:hyperlink>
      <w:r w:rsidRPr="003656A7">
        <w:rPr>
          <w:lang w:val="nl-NL"/>
        </w:rPr>
        <w:t xml:space="preserve"> en de </w:t>
      </w:r>
      <w:hyperlink r:id="rId11" w:tooltip="Gyrus praecentralis" w:history="1">
        <w:proofErr w:type="spellStart"/>
        <w:r w:rsidRPr="003656A7">
          <w:rPr>
            <w:rStyle w:val="Hyperlink"/>
            <w:color w:val="auto"/>
            <w:u w:val="none"/>
            <w:lang w:val="nl-NL"/>
          </w:rPr>
          <w:t>gyrus</w:t>
        </w:r>
        <w:proofErr w:type="spellEnd"/>
        <w:r w:rsidRPr="003656A7">
          <w:rPr>
            <w:rStyle w:val="Hyperlink"/>
            <w:color w:val="auto"/>
            <w:u w:val="none"/>
            <w:lang w:val="nl-NL"/>
          </w:rPr>
          <w:t xml:space="preserve"> </w:t>
        </w:r>
        <w:proofErr w:type="spellStart"/>
        <w:r w:rsidRPr="003656A7">
          <w:rPr>
            <w:rStyle w:val="Hyperlink"/>
            <w:color w:val="auto"/>
            <w:u w:val="none"/>
            <w:lang w:val="nl-NL"/>
          </w:rPr>
          <w:t>praecentralis</w:t>
        </w:r>
        <w:proofErr w:type="spellEnd"/>
      </w:hyperlink>
      <w:r w:rsidRPr="003656A7">
        <w:rPr>
          <w:lang w:val="nl-NL"/>
        </w:rPr>
        <w:t xml:space="preserve">, en de meer naar voren gelegen </w:t>
      </w:r>
      <w:hyperlink r:id="rId12" w:tooltip="Premotorische schors (de pagina bestaat niet)" w:history="1">
        <w:r w:rsidRPr="003656A7">
          <w:rPr>
            <w:rStyle w:val="Hyperlink"/>
            <w:color w:val="auto"/>
            <w:u w:val="none"/>
            <w:lang w:val="nl-NL"/>
          </w:rPr>
          <w:t>premotorische schors</w:t>
        </w:r>
      </w:hyperlink>
      <w:r w:rsidRPr="003656A7">
        <w:rPr>
          <w:lang w:val="nl-NL"/>
        </w:rPr>
        <w:t xml:space="preserve"> (</w:t>
      </w:r>
      <w:proofErr w:type="spellStart"/>
      <w:r w:rsidRPr="003656A7">
        <w:rPr>
          <w:lang w:val="nl-NL"/>
        </w:rPr>
        <w:t>Brodmanngebied</w:t>
      </w:r>
      <w:proofErr w:type="spellEnd"/>
      <w:r w:rsidRPr="003656A7">
        <w:rPr>
          <w:lang w:val="nl-NL"/>
        </w:rPr>
        <w:t xml:space="preserve"> 6).</w:t>
      </w:r>
    </w:p>
    <w:p w:rsidR="003656A7" w:rsidRDefault="003656A7" w:rsidP="003656A7">
      <w:pPr>
        <w:rPr>
          <w:lang w:val="nl-NL"/>
        </w:rPr>
      </w:pPr>
      <w:r w:rsidRPr="003656A7">
        <w:rPr>
          <w:lang w:val="nl-NL"/>
        </w:rPr>
        <w:t xml:space="preserve">Het mediale (meer naar binnen gelegen) deel van de premotorische schors wordt ook wel </w:t>
      </w:r>
      <w:hyperlink r:id="rId13" w:tooltip="Supplementaire motorische schors" w:history="1">
        <w:r w:rsidRPr="003656A7">
          <w:rPr>
            <w:rStyle w:val="Hyperlink"/>
            <w:color w:val="auto"/>
            <w:u w:val="none"/>
            <w:lang w:val="nl-NL"/>
          </w:rPr>
          <w:t>supplementaire motorische schors</w:t>
        </w:r>
      </w:hyperlink>
      <w:r w:rsidRPr="003656A7">
        <w:rPr>
          <w:lang w:val="nl-NL"/>
        </w:rPr>
        <w:t xml:space="preserve"> (of </w:t>
      </w:r>
      <w:proofErr w:type="spellStart"/>
      <w:r w:rsidRPr="003656A7">
        <w:rPr>
          <w:lang w:val="nl-NL"/>
        </w:rPr>
        <w:t>area</w:t>
      </w:r>
      <w:proofErr w:type="spellEnd"/>
      <w:r w:rsidRPr="003656A7">
        <w:rPr>
          <w:lang w:val="nl-NL"/>
        </w:rPr>
        <w:t>) genoemd (afgekort: SMA).</w:t>
      </w:r>
    </w:p>
    <w:p w:rsidR="003656A7" w:rsidRDefault="003656A7" w:rsidP="003656A7">
      <w:pPr>
        <w:rPr>
          <w:lang w:val="nl-NL"/>
        </w:rPr>
      </w:pPr>
      <w:r>
        <w:rPr>
          <w:noProof/>
          <w:color w:val="0000FF"/>
          <w:lang w:eastAsia="nl-BE"/>
        </w:rPr>
        <w:drawing>
          <wp:inline distT="0" distB="0" distL="0" distR="0">
            <wp:extent cx="4286250" cy="3420757"/>
            <wp:effectExtent l="0" t="0" r="0" b="0"/>
            <wp:docPr id="2" name="Afbeelding 4" descr="File:Gehirn, lateral - Hauptgyri beschriftet.sv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ile:Gehirn, lateral - Hauptgyri beschriftet.svg">
                      <a:hlinkClick r:id="rId14"/>
                    </pic:cNvPr>
                    <pic:cNvPicPr>
                      <a:picLocks noChangeAspect="1" noChangeArrowheads="1"/>
                    </pic:cNvPicPr>
                  </pic:nvPicPr>
                  <pic:blipFill>
                    <a:blip r:embed="rId15" cstate="print"/>
                    <a:srcRect/>
                    <a:stretch>
                      <a:fillRect/>
                    </a:stretch>
                  </pic:blipFill>
                  <pic:spPr bwMode="auto">
                    <a:xfrm>
                      <a:off x="0" y="0"/>
                      <a:ext cx="4286923" cy="3421294"/>
                    </a:xfrm>
                    <a:prstGeom prst="rect">
                      <a:avLst/>
                    </a:prstGeom>
                    <a:noFill/>
                    <a:ln w="9525">
                      <a:noFill/>
                      <a:miter lim="800000"/>
                      <a:headEnd/>
                      <a:tailEnd/>
                    </a:ln>
                  </pic:spPr>
                </pic:pic>
              </a:graphicData>
            </a:graphic>
          </wp:inline>
        </w:drawing>
      </w:r>
    </w:p>
    <w:p w:rsidR="003656A7" w:rsidRDefault="003656A7" w:rsidP="003656A7">
      <w:pPr>
        <w:jc w:val="both"/>
        <w:rPr>
          <w:rFonts w:ascii="Palatino Linotype" w:hAnsi="Palatino Linotype"/>
          <w:snapToGrid w:val="0"/>
          <w:lang w:eastAsia="nl-NL"/>
        </w:rPr>
      </w:pPr>
    </w:p>
    <w:p w:rsidR="00DB4A29" w:rsidRDefault="00DB4A29" w:rsidP="003656A7">
      <w:pPr>
        <w:jc w:val="both"/>
        <w:rPr>
          <w:rFonts w:ascii="Palatino Linotype" w:hAnsi="Palatino Linotype"/>
          <w:snapToGrid w:val="0"/>
          <w:lang w:eastAsia="nl-NL"/>
        </w:rPr>
      </w:pPr>
    </w:p>
    <w:p w:rsidR="00DB4A29" w:rsidRDefault="00DB4A29" w:rsidP="003656A7">
      <w:pPr>
        <w:jc w:val="both"/>
        <w:rPr>
          <w:snapToGrid w:val="0"/>
          <w:lang w:eastAsia="nl-NL"/>
        </w:rPr>
      </w:pPr>
    </w:p>
    <w:p w:rsidR="003656A7" w:rsidRPr="00DB4A29" w:rsidRDefault="003656A7" w:rsidP="003656A7">
      <w:pPr>
        <w:jc w:val="both"/>
        <w:rPr>
          <w:rFonts w:ascii="Calibri" w:eastAsia="Calibri" w:hAnsi="Calibri" w:cs="Times New Roman"/>
          <w:snapToGrid w:val="0"/>
          <w:lang w:eastAsia="nl-NL"/>
        </w:rPr>
      </w:pPr>
      <w:r w:rsidRPr="00DB4A29">
        <w:rPr>
          <w:rFonts w:ascii="Calibri" w:eastAsia="Calibri" w:hAnsi="Calibri" w:cs="Times New Roman"/>
          <w:snapToGrid w:val="0"/>
          <w:lang w:eastAsia="nl-NL"/>
        </w:rPr>
        <w:t xml:space="preserve">De cerebrale cortex is anatomisch verdeeld in 4 lobben, </w:t>
      </w:r>
      <w:proofErr w:type="spellStart"/>
      <w:r w:rsidRPr="00DB4A29">
        <w:rPr>
          <w:rFonts w:ascii="Calibri" w:eastAsia="Calibri" w:hAnsi="Calibri" w:cs="Times New Roman"/>
          <w:snapToGrid w:val="0"/>
          <w:lang w:eastAsia="nl-NL"/>
        </w:rPr>
        <w:t>nl</w:t>
      </w:r>
      <w:proofErr w:type="spellEnd"/>
      <w:r w:rsidRPr="00DB4A29">
        <w:rPr>
          <w:rFonts w:ascii="Calibri" w:eastAsia="Calibri" w:hAnsi="Calibri" w:cs="Times New Roman"/>
          <w:snapToGrid w:val="0"/>
          <w:lang w:eastAsia="nl-NL"/>
        </w:rPr>
        <w:t xml:space="preserve">. de frontale, temporale, </w:t>
      </w:r>
      <w:proofErr w:type="spellStart"/>
      <w:r w:rsidRPr="00DB4A29">
        <w:rPr>
          <w:rFonts w:ascii="Calibri" w:eastAsia="Calibri" w:hAnsi="Calibri" w:cs="Times New Roman"/>
          <w:snapToGrid w:val="0"/>
          <w:lang w:eastAsia="nl-NL"/>
        </w:rPr>
        <w:t>pariëtale</w:t>
      </w:r>
      <w:proofErr w:type="spellEnd"/>
      <w:r w:rsidRPr="00DB4A29">
        <w:rPr>
          <w:rFonts w:ascii="Calibri" w:eastAsia="Calibri" w:hAnsi="Calibri" w:cs="Times New Roman"/>
          <w:snapToGrid w:val="0"/>
          <w:lang w:eastAsia="nl-NL"/>
        </w:rPr>
        <w:t xml:space="preserve"> en </w:t>
      </w:r>
    </w:p>
    <w:p w:rsidR="003656A7" w:rsidRPr="00DB4A29" w:rsidRDefault="003656A7" w:rsidP="003656A7">
      <w:pPr>
        <w:jc w:val="both"/>
        <w:rPr>
          <w:rFonts w:ascii="Calibri" w:eastAsia="Calibri" w:hAnsi="Calibri" w:cs="Times New Roman"/>
          <w:snapToGrid w:val="0"/>
          <w:lang w:eastAsia="nl-NL"/>
        </w:rPr>
      </w:pPr>
      <w:proofErr w:type="spellStart"/>
      <w:r w:rsidRPr="00DB4A29">
        <w:rPr>
          <w:rFonts w:ascii="Calibri" w:eastAsia="Calibri" w:hAnsi="Calibri" w:cs="Times New Roman"/>
          <w:snapToGrid w:val="0"/>
          <w:lang w:eastAsia="nl-NL"/>
        </w:rPr>
        <w:t>occipitale</w:t>
      </w:r>
      <w:proofErr w:type="spellEnd"/>
      <w:r w:rsidRPr="00DB4A29">
        <w:rPr>
          <w:rFonts w:ascii="Calibri" w:eastAsia="Calibri" w:hAnsi="Calibri" w:cs="Times New Roman"/>
          <w:snapToGrid w:val="0"/>
          <w:lang w:eastAsia="nl-NL"/>
        </w:rPr>
        <w:t xml:space="preserve"> lob, en nog 2 bijkomende regio’s, </w:t>
      </w:r>
      <w:proofErr w:type="spellStart"/>
      <w:r w:rsidRPr="00DB4A29">
        <w:rPr>
          <w:rFonts w:ascii="Calibri" w:eastAsia="Calibri" w:hAnsi="Calibri" w:cs="Times New Roman"/>
          <w:snapToGrid w:val="0"/>
          <w:lang w:eastAsia="nl-NL"/>
        </w:rPr>
        <w:t>nl</w:t>
      </w:r>
      <w:proofErr w:type="spellEnd"/>
      <w:r w:rsidRPr="00DB4A29">
        <w:rPr>
          <w:rFonts w:ascii="Calibri" w:eastAsia="Calibri" w:hAnsi="Calibri" w:cs="Times New Roman"/>
          <w:snapToGrid w:val="0"/>
          <w:lang w:eastAsia="nl-NL"/>
        </w:rPr>
        <w:t xml:space="preserve">. de </w:t>
      </w:r>
      <w:proofErr w:type="spellStart"/>
      <w:r w:rsidRPr="00DB4A29">
        <w:rPr>
          <w:rFonts w:ascii="Calibri" w:eastAsia="Calibri" w:hAnsi="Calibri" w:cs="Times New Roman"/>
          <w:snapToGrid w:val="0"/>
          <w:lang w:eastAsia="nl-NL"/>
        </w:rPr>
        <w:t>cingulate</w:t>
      </w:r>
      <w:proofErr w:type="spellEnd"/>
      <w:r w:rsidRPr="00DB4A29">
        <w:rPr>
          <w:rFonts w:ascii="Calibri" w:eastAsia="Calibri" w:hAnsi="Calibri" w:cs="Times New Roman"/>
          <w:snapToGrid w:val="0"/>
          <w:lang w:eastAsia="nl-NL"/>
        </w:rPr>
        <w:t xml:space="preserve"> cortex en de insulaire cortex. Het onderscheid tussen de lobben wordt bepaald door de aanwezigheid van 2 opvallende </w:t>
      </w:r>
      <w:proofErr w:type="spellStart"/>
      <w:r w:rsidRPr="00DB4A29">
        <w:rPr>
          <w:rFonts w:ascii="Calibri" w:eastAsia="Calibri" w:hAnsi="Calibri" w:cs="Times New Roman"/>
          <w:snapToGrid w:val="0"/>
          <w:lang w:eastAsia="nl-NL"/>
        </w:rPr>
        <w:t>sulci</w:t>
      </w:r>
      <w:proofErr w:type="spellEnd"/>
      <w:r w:rsidRPr="00DB4A29">
        <w:rPr>
          <w:rFonts w:ascii="Calibri" w:eastAsia="Calibri" w:hAnsi="Calibri" w:cs="Times New Roman"/>
          <w:snapToGrid w:val="0"/>
          <w:lang w:eastAsia="nl-NL"/>
        </w:rPr>
        <w:t xml:space="preserve">, </w:t>
      </w:r>
      <w:proofErr w:type="spellStart"/>
      <w:r w:rsidRPr="00DB4A29">
        <w:rPr>
          <w:rFonts w:ascii="Calibri" w:eastAsia="Calibri" w:hAnsi="Calibri" w:cs="Times New Roman"/>
          <w:snapToGrid w:val="0"/>
          <w:lang w:eastAsia="nl-NL"/>
        </w:rPr>
        <w:t>nl</w:t>
      </w:r>
      <w:proofErr w:type="spellEnd"/>
      <w:r w:rsidRPr="00DB4A29">
        <w:rPr>
          <w:rFonts w:ascii="Calibri" w:eastAsia="Calibri" w:hAnsi="Calibri" w:cs="Times New Roman"/>
          <w:snapToGrid w:val="0"/>
          <w:lang w:eastAsia="nl-NL"/>
        </w:rPr>
        <w:t xml:space="preserve">. de laterale </w:t>
      </w:r>
      <w:proofErr w:type="spellStart"/>
      <w:r w:rsidRPr="00DB4A29">
        <w:rPr>
          <w:rFonts w:ascii="Calibri" w:eastAsia="Calibri" w:hAnsi="Calibri" w:cs="Times New Roman"/>
          <w:snapToGrid w:val="0"/>
          <w:lang w:eastAsia="nl-NL"/>
        </w:rPr>
        <w:t>sulcus</w:t>
      </w:r>
      <w:proofErr w:type="spellEnd"/>
      <w:r w:rsidRPr="00DB4A29">
        <w:rPr>
          <w:rFonts w:ascii="Calibri" w:eastAsia="Calibri" w:hAnsi="Calibri" w:cs="Times New Roman"/>
          <w:snapToGrid w:val="0"/>
          <w:lang w:eastAsia="nl-NL"/>
        </w:rPr>
        <w:t xml:space="preserve"> (= </w:t>
      </w:r>
      <w:proofErr w:type="spellStart"/>
      <w:r w:rsidRPr="00DB4A29">
        <w:rPr>
          <w:rFonts w:ascii="Calibri" w:eastAsia="Calibri" w:hAnsi="Calibri" w:cs="Times New Roman"/>
          <w:snapToGrid w:val="0"/>
          <w:lang w:eastAsia="nl-NL"/>
        </w:rPr>
        <w:t>fissuur</w:t>
      </w:r>
      <w:proofErr w:type="spellEnd"/>
      <w:r w:rsidRPr="00DB4A29">
        <w:rPr>
          <w:rFonts w:ascii="Calibri" w:eastAsia="Calibri" w:hAnsi="Calibri" w:cs="Times New Roman"/>
          <w:snapToGrid w:val="0"/>
          <w:lang w:eastAsia="nl-NL"/>
        </w:rPr>
        <w:t xml:space="preserve"> van </w:t>
      </w:r>
      <w:proofErr w:type="spellStart"/>
      <w:r w:rsidRPr="00DB4A29">
        <w:rPr>
          <w:rFonts w:ascii="Calibri" w:eastAsia="Calibri" w:hAnsi="Calibri" w:cs="Times New Roman"/>
          <w:snapToGrid w:val="0"/>
          <w:lang w:eastAsia="nl-NL"/>
        </w:rPr>
        <w:t>sylvius</w:t>
      </w:r>
      <w:proofErr w:type="spellEnd"/>
      <w:r w:rsidRPr="00DB4A29">
        <w:rPr>
          <w:rFonts w:ascii="Calibri" w:eastAsia="Calibri" w:hAnsi="Calibri" w:cs="Times New Roman"/>
          <w:snapToGrid w:val="0"/>
          <w:lang w:eastAsia="nl-NL"/>
        </w:rPr>
        <w:t xml:space="preserve">) en de centrale </w:t>
      </w:r>
      <w:proofErr w:type="spellStart"/>
      <w:r w:rsidRPr="00DB4A29">
        <w:rPr>
          <w:rFonts w:ascii="Calibri" w:eastAsia="Calibri" w:hAnsi="Calibri" w:cs="Times New Roman"/>
          <w:snapToGrid w:val="0"/>
          <w:lang w:eastAsia="nl-NL"/>
        </w:rPr>
        <w:t>sulcus</w:t>
      </w:r>
      <w:proofErr w:type="spellEnd"/>
      <w:r w:rsidRPr="00DB4A29">
        <w:rPr>
          <w:rFonts w:ascii="Calibri" w:eastAsia="Calibri" w:hAnsi="Calibri" w:cs="Times New Roman"/>
          <w:snapToGrid w:val="0"/>
          <w:lang w:eastAsia="nl-NL"/>
        </w:rPr>
        <w:t xml:space="preserve"> (</w:t>
      </w:r>
      <w:proofErr w:type="spellStart"/>
      <w:r w:rsidRPr="00DB4A29">
        <w:rPr>
          <w:rFonts w:ascii="Calibri" w:eastAsia="Calibri" w:hAnsi="Calibri" w:cs="Times New Roman"/>
          <w:snapToGrid w:val="0"/>
          <w:lang w:eastAsia="nl-NL"/>
        </w:rPr>
        <w:t>fissuur</w:t>
      </w:r>
      <w:proofErr w:type="spellEnd"/>
      <w:r w:rsidRPr="00DB4A29">
        <w:rPr>
          <w:rFonts w:ascii="Calibri" w:eastAsia="Calibri" w:hAnsi="Calibri" w:cs="Times New Roman"/>
          <w:snapToGrid w:val="0"/>
          <w:lang w:eastAsia="nl-NL"/>
        </w:rPr>
        <w:t xml:space="preserve"> van </w:t>
      </w:r>
      <w:proofErr w:type="spellStart"/>
      <w:r w:rsidRPr="00DB4A29">
        <w:rPr>
          <w:rFonts w:ascii="Calibri" w:eastAsia="Calibri" w:hAnsi="Calibri" w:cs="Times New Roman"/>
          <w:snapToGrid w:val="0"/>
          <w:lang w:eastAsia="nl-NL"/>
        </w:rPr>
        <w:t>Rolando</w:t>
      </w:r>
      <w:proofErr w:type="spellEnd"/>
      <w:r w:rsidRPr="00DB4A29">
        <w:rPr>
          <w:rFonts w:ascii="Calibri" w:eastAsia="Calibri" w:hAnsi="Calibri" w:cs="Times New Roman"/>
          <w:snapToGrid w:val="0"/>
          <w:lang w:eastAsia="nl-NL"/>
        </w:rPr>
        <w:t xml:space="preserve">).  De laterale </w:t>
      </w:r>
      <w:proofErr w:type="spellStart"/>
      <w:r w:rsidRPr="00DB4A29">
        <w:rPr>
          <w:rFonts w:ascii="Calibri" w:eastAsia="Calibri" w:hAnsi="Calibri" w:cs="Times New Roman"/>
          <w:snapToGrid w:val="0"/>
          <w:lang w:eastAsia="nl-NL"/>
        </w:rPr>
        <w:t>sulcus</w:t>
      </w:r>
      <w:proofErr w:type="spellEnd"/>
      <w:r w:rsidRPr="00DB4A29">
        <w:rPr>
          <w:rFonts w:ascii="Calibri" w:eastAsia="Calibri" w:hAnsi="Calibri" w:cs="Times New Roman"/>
          <w:snapToGrid w:val="0"/>
          <w:lang w:eastAsia="nl-NL"/>
        </w:rPr>
        <w:t xml:space="preserve"> scheidt de temporale en frontale lob, terwijl de centrale </w:t>
      </w:r>
      <w:proofErr w:type="spellStart"/>
      <w:r w:rsidRPr="00DB4A29">
        <w:rPr>
          <w:rFonts w:ascii="Calibri" w:eastAsia="Calibri" w:hAnsi="Calibri" w:cs="Times New Roman"/>
          <w:snapToGrid w:val="0"/>
          <w:lang w:eastAsia="nl-NL"/>
        </w:rPr>
        <w:t>sulcus</w:t>
      </w:r>
      <w:proofErr w:type="spellEnd"/>
      <w:r w:rsidRPr="00DB4A29">
        <w:rPr>
          <w:rFonts w:ascii="Calibri" w:eastAsia="Calibri" w:hAnsi="Calibri" w:cs="Times New Roman"/>
          <w:snapToGrid w:val="0"/>
          <w:lang w:eastAsia="nl-NL"/>
        </w:rPr>
        <w:t xml:space="preserve"> de frontale en </w:t>
      </w:r>
      <w:proofErr w:type="spellStart"/>
      <w:r w:rsidRPr="00DB4A29">
        <w:rPr>
          <w:rFonts w:ascii="Calibri" w:eastAsia="Calibri" w:hAnsi="Calibri" w:cs="Times New Roman"/>
          <w:snapToGrid w:val="0"/>
          <w:lang w:eastAsia="nl-NL"/>
        </w:rPr>
        <w:t>pariëtale</w:t>
      </w:r>
      <w:proofErr w:type="spellEnd"/>
      <w:r w:rsidRPr="00DB4A29">
        <w:rPr>
          <w:rFonts w:ascii="Calibri" w:eastAsia="Calibri" w:hAnsi="Calibri" w:cs="Times New Roman"/>
          <w:snapToGrid w:val="0"/>
          <w:lang w:eastAsia="nl-NL"/>
        </w:rPr>
        <w:t xml:space="preserve"> lob scheidt.</w:t>
      </w:r>
    </w:p>
    <w:p w:rsidR="003656A7" w:rsidRPr="00DB4A29" w:rsidRDefault="003656A7" w:rsidP="003656A7">
      <w:pPr>
        <w:jc w:val="both"/>
        <w:rPr>
          <w:rFonts w:ascii="Calibri" w:eastAsia="Calibri" w:hAnsi="Calibri" w:cs="Times New Roman"/>
          <w:snapToGrid w:val="0"/>
          <w:lang w:eastAsia="nl-NL"/>
        </w:rPr>
      </w:pPr>
      <w:r w:rsidRPr="00DB4A29">
        <w:rPr>
          <w:rFonts w:ascii="Calibri" w:eastAsia="Calibri" w:hAnsi="Calibri" w:cs="Times New Roman"/>
          <w:snapToGrid w:val="0"/>
          <w:lang w:eastAsia="nl-NL"/>
        </w:rPr>
        <w:t xml:space="preserve">De cerebrale cortex is o.a. betrokken bij </w:t>
      </w:r>
      <w:r w:rsidRPr="00DB4A29">
        <w:rPr>
          <w:rFonts w:ascii="Calibri" w:eastAsia="Calibri" w:hAnsi="Calibri" w:cs="Times New Roman"/>
          <w:snapToGrid w:val="0"/>
          <w:u w:val="single"/>
          <w:lang w:eastAsia="nl-NL"/>
        </w:rPr>
        <w:t>perceptie</w:t>
      </w:r>
      <w:r w:rsidRPr="00DB4A29">
        <w:rPr>
          <w:rFonts w:ascii="Calibri" w:eastAsia="Calibri" w:hAnsi="Calibri" w:cs="Times New Roman"/>
          <w:snapToGrid w:val="0"/>
          <w:lang w:eastAsia="nl-NL"/>
        </w:rPr>
        <w:t xml:space="preserve">. De primaire sensorische gebieden bevinden zich in verschillende lobben (primaire visuele cortex: </w:t>
      </w:r>
      <w:proofErr w:type="spellStart"/>
      <w:r w:rsidRPr="00DB4A29">
        <w:rPr>
          <w:rFonts w:ascii="Calibri" w:eastAsia="Calibri" w:hAnsi="Calibri" w:cs="Times New Roman"/>
          <w:snapToGrid w:val="0"/>
          <w:lang w:eastAsia="nl-NL"/>
        </w:rPr>
        <w:t>occipitale</w:t>
      </w:r>
      <w:proofErr w:type="spellEnd"/>
      <w:r w:rsidRPr="00DB4A29">
        <w:rPr>
          <w:rFonts w:ascii="Calibri" w:eastAsia="Calibri" w:hAnsi="Calibri" w:cs="Times New Roman"/>
          <w:snapToGrid w:val="0"/>
          <w:lang w:eastAsia="nl-NL"/>
        </w:rPr>
        <w:t xml:space="preserve"> lob, primaire auditieve cortex: temporale lob en primaire </w:t>
      </w:r>
      <w:proofErr w:type="spellStart"/>
      <w:r w:rsidRPr="00DB4A29">
        <w:rPr>
          <w:rFonts w:ascii="Calibri" w:eastAsia="Calibri" w:hAnsi="Calibri" w:cs="Times New Roman"/>
          <w:snapToGrid w:val="0"/>
          <w:lang w:eastAsia="nl-NL"/>
        </w:rPr>
        <w:t>somatosensoriële</w:t>
      </w:r>
      <w:proofErr w:type="spellEnd"/>
      <w:r w:rsidRPr="00DB4A29">
        <w:rPr>
          <w:rFonts w:ascii="Calibri" w:eastAsia="Calibri" w:hAnsi="Calibri" w:cs="Times New Roman"/>
          <w:snapToGrid w:val="0"/>
          <w:lang w:eastAsia="nl-NL"/>
        </w:rPr>
        <w:t xml:space="preserve"> cortex: </w:t>
      </w:r>
      <w:proofErr w:type="spellStart"/>
      <w:r w:rsidRPr="00DB4A29">
        <w:rPr>
          <w:rFonts w:ascii="Calibri" w:eastAsia="Calibri" w:hAnsi="Calibri" w:cs="Times New Roman"/>
          <w:snapToGrid w:val="0"/>
          <w:lang w:eastAsia="nl-NL"/>
        </w:rPr>
        <w:t>pariëtale</w:t>
      </w:r>
      <w:proofErr w:type="spellEnd"/>
      <w:r w:rsidRPr="00DB4A29">
        <w:rPr>
          <w:rFonts w:ascii="Calibri" w:eastAsia="Calibri" w:hAnsi="Calibri" w:cs="Times New Roman"/>
          <w:snapToGrid w:val="0"/>
          <w:lang w:eastAsia="nl-NL"/>
        </w:rPr>
        <w:t xml:space="preserve"> lob). Elk primair sensorisch gebied vervoert informatie naar </w:t>
      </w:r>
      <w:proofErr w:type="spellStart"/>
      <w:r w:rsidRPr="00DB4A29">
        <w:rPr>
          <w:rFonts w:ascii="Calibri" w:eastAsia="Calibri" w:hAnsi="Calibri" w:cs="Times New Roman"/>
          <w:snapToGrid w:val="0"/>
          <w:lang w:eastAsia="nl-NL"/>
        </w:rPr>
        <w:t>hogere-orde</w:t>
      </w:r>
      <w:proofErr w:type="spellEnd"/>
      <w:r w:rsidRPr="00DB4A29">
        <w:rPr>
          <w:rFonts w:ascii="Calibri" w:eastAsia="Calibri" w:hAnsi="Calibri" w:cs="Times New Roman"/>
          <w:snapToGrid w:val="0"/>
          <w:lang w:eastAsia="nl-NL"/>
        </w:rPr>
        <w:t xml:space="preserve"> gebieden die deze informatie verder verwerken. Vervolgens zorgen de 3 </w:t>
      </w:r>
      <w:proofErr w:type="spellStart"/>
      <w:r w:rsidRPr="00DB4A29">
        <w:rPr>
          <w:rFonts w:ascii="Calibri" w:eastAsia="Calibri" w:hAnsi="Calibri" w:cs="Times New Roman"/>
          <w:snapToGrid w:val="0"/>
          <w:lang w:eastAsia="nl-NL"/>
        </w:rPr>
        <w:t>multimodale</w:t>
      </w:r>
      <w:proofErr w:type="spellEnd"/>
      <w:r w:rsidRPr="00DB4A29">
        <w:rPr>
          <w:rFonts w:ascii="Calibri" w:eastAsia="Calibri" w:hAnsi="Calibri" w:cs="Times New Roman"/>
          <w:snapToGrid w:val="0"/>
          <w:lang w:eastAsia="nl-NL"/>
        </w:rPr>
        <w:t xml:space="preserve"> associatiegebieden voor een integratie van informatie vanuit twee of meer sensorische modaliteiten en coördineren ze de planning van actie. De cerebrale cortex speelt ook een zeer belangrijke rol in </w:t>
      </w:r>
      <w:r w:rsidRPr="00DB4A29">
        <w:rPr>
          <w:rFonts w:ascii="Calibri" w:eastAsia="Calibri" w:hAnsi="Calibri" w:cs="Times New Roman"/>
          <w:snapToGrid w:val="0"/>
          <w:u w:val="single"/>
          <w:lang w:eastAsia="nl-NL"/>
        </w:rPr>
        <w:t>motoriek</w:t>
      </w:r>
      <w:r w:rsidRPr="00DB4A29">
        <w:rPr>
          <w:rFonts w:ascii="Calibri" w:eastAsia="Calibri" w:hAnsi="Calibri" w:cs="Times New Roman"/>
          <w:snapToGrid w:val="0"/>
          <w:lang w:eastAsia="nl-NL"/>
        </w:rPr>
        <w:t xml:space="preserve">. De primaire motorische cortex bevindt zich in de frontale lob. Bij de planning en uitvoering van bewegingen zijn eveneens premotorische gebieden betrokken en nog een aantal andere motor regio’s (vb. basale </w:t>
      </w:r>
      <w:proofErr w:type="spellStart"/>
      <w:r w:rsidRPr="00DB4A29">
        <w:rPr>
          <w:rFonts w:ascii="Calibri" w:eastAsia="Calibri" w:hAnsi="Calibri" w:cs="Times New Roman"/>
          <w:snapToGrid w:val="0"/>
          <w:lang w:eastAsia="nl-NL"/>
        </w:rPr>
        <w:t>ganglia</w:t>
      </w:r>
      <w:proofErr w:type="spellEnd"/>
      <w:r w:rsidRPr="00DB4A29">
        <w:rPr>
          <w:rFonts w:ascii="Calibri" w:eastAsia="Calibri" w:hAnsi="Calibri" w:cs="Times New Roman"/>
          <w:snapToGrid w:val="0"/>
          <w:lang w:eastAsia="nl-NL"/>
        </w:rPr>
        <w:t xml:space="preserve"> en cerebellum).</w:t>
      </w:r>
    </w:p>
    <w:p w:rsidR="00DB4A29" w:rsidRPr="00DB4A29" w:rsidRDefault="00DB4A29" w:rsidP="00DB4A29">
      <w:pPr>
        <w:jc w:val="both"/>
        <w:rPr>
          <w:rFonts w:ascii="Calibri" w:eastAsia="Calibri" w:hAnsi="Calibri" w:cs="Times New Roman"/>
          <w:snapToGrid w:val="0"/>
          <w:lang w:eastAsia="nl-NL"/>
        </w:rPr>
      </w:pPr>
      <w:r w:rsidRPr="00DB4A29">
        <w:rPr>
          <w:rFonts w:ascii="Calibri" w:eastAsia="Calibri" w:hAnsi="Calibri" w:cs="Times New Roman"/>
          <w:snapToGrid w:val="0"/>
          <w:lang w:eastAsia="nl-NL"/>
        </w:rPr>
        <w:t xml:space="preserve">De premotorische gebieden (SMA, </w:t>
      </w:r>
      <w:proofErr w:type="spellStart"/>
      <w:r w:rsidRPr="00DB4A29">
        <w:rPr>
          <w:rFonts w:ascii="Calibri" w:eastAsia="Calibri" w:hAnsi="Calibri" w:cs="Times New Roman"/>
          <w:snapToGrid w:val="0"/>
          <w:lang w:eastAsia="nl-NL"/>
        </w:rPr>
        <w:t>pre-SMA</w:t>
      </w:r>
      <w:proofErr w:type="spellEnd"/>
      <w:r w:rsidRPr="00DB4A29">
        <w:rPr>
          <w:rFonts w:ascii="Calibri" w:eastAsia="Calibri" w:hAnsi="Calibri" w:cs="Times New Roman"/>
          <w:snapToGrid w:val="0"/>
          <w:lang w:eastAsia="nl-NL"/>
        </w:rPr>
        <w:t xml:space="preserve">, </w:t>
      </w:r>
      <w:proofErr w:type="spellStart"/>
      <w:r w:rsidRPr="00DB4A29">
        <w:rPr>
          <w:rFonts w:ascii="Calibri" w:eastAsia="Calibri" w:hAnsi="Calibri" w:cs="Times New Roman"/>
          <w:snapToGrid w:val="0"/>
          <w:lang w:eastAsia="nl-NL"/>
        </w:rPr>
        <w:t>PMv</w:t>
      </w:r>
      <w:proofErr w:type="spellEnd"/>
      <w:r w:rsidRPr="00DB4A29">
        <w:rPr>
          <w:rFonts w:ascii="Calibri" w:eastAsia="Calibri" w:hAnsi="Calibri" w:cs="Times New Roman"/>
          <w:snapToGrid w:val="0"/>
          <w:lang w:eastAsia="nl-NL"/>
        </w:rPr>
        <w:t xml:space="preserve"> en </w:t>
      </w:r>
      <w:proofErr w:type="spellStart"/>
      <w:r w:rsidRPr="00DB4A29">
        <w:rPr>
          <w:rFonts w:ascii="Calibri" w:eastAsia="Calibri" w:hAnsi="Calibri" w:cs="Times New Roman"/>
          <w:snapToGrid w:val="0"/>
          <w:lang w:eastAsia="nl-NL"/>
        </w:rPr>
        <w:t>PMd</w:t>
      </w:r>
      <w:proofErr w:type="spellEnd"/>
      <w:r w:rsidRPr="00DB4A29">
        <w:rPr>
          <w:rFonts w:ascii="Calibri" w:eastAsia="Calibri" w:hAnsi="Calibri" w:cs="Times New Roman"/>
          <w:snapToGrid w:val="0"/>
          <w:lang w:eastAsia="nl-NL"/>
        </w:rPr>
        <w:t>) staan in voor de planning van beweging, terwijl de primaire motorische cortex (M1) zorgt voor de uitvoering van beweging en adaptatie.</w:t>
      </w:r>
    </w:p>
    <w:p w:rsidR="00DB4A29" w:rsidRPr="00DB4A29" w:rsidRDefault="00DB4A29" w:rsidP="00DB4A29">
      <w:pPr>
        <w:jc w:val="both"/>
        <w:rPr>
          <w:rFonts w:ascii="Calibri" w:eastAsia="Calibri" w:hAnsi="Calibri" w:cs="Times New Roman"/>
          <w:snapToGrid w:val="0"/>
          <w:lang w:eastAsia="nl-NL"/>
        </w:rPr>
      </w:pPr>
    </w:p>
    <w:p w:rsidR="00DB4A29" w:rsidRPr="00DB4A29" w:rsidRDefault="00DB4A29" w:rsidP="00DB4A29">
      <w:pPr>
        <w:jc w:val="both"/>
        <w:rPr>
          <w:rFonts w:ascii="Calibri" w:eastAsia="Calibri" w:hAnsi="Calibri" w:cs="Times New Roman"/>
        </w:rPr>
      </w:pPr>
      <w:r w:rsidRPr="00DB4A29">
        <w:rPr>
          <w:rFonts w:ascii="Calibri" w:eastAsia="Calibri" w:hAnsi="Calibri" w:cs="Times New Roman"/>
          <w:snapToGrid w:val="0"/>
          <w:lang w:eastAsia="nl-NL"/>
        </w:rPr>
        <w:t xml:space="preserve">De verschillende premotorische gebieden hebben elk hun eigen aandeel in de bewegingsplanning. De presupplementaire motorische </w:t>
      </w:r>
      <w:proofErr w:type="spellStart"/>
      <w:r w:rsidRPr="00DB4A29">
        <w:rPr>
          <w:rFonts w:ascii="Calibri" w:eastAsia="Calibri" w:hAnsi="Calibri" w:cs="Times New Roman"/>
          <w:snapToGrid w:val="0"/>
          <w:lang w:eastAsia="nl-NL"/>
        </w:rPr>
        <w:t>area</w:t>
      </w:r>
      <w:proofErr w:type="spellEnd"/>
      <w:r w:rsidRPr="00DB4A29">
        <w:rPr>
          <w:rFonts w:ascii="Calibri" w:eastAsia="Calibri" w:hAnsi="Calibri" w:cs="Times New Roman"/>
          <w:snapToGrid w:val="0"/>
          <w:lang w:eastAsia="nl-NL"/>
        </w:rPr>
        <w:t xml:space="preserve"> (</w:t>
      </w:r>
      <w:proofErr w:type="spellStart"/>
      <w:r w:rsidRPr="00DB4A29">
        <w:rPr>
          <w:rFonts w:ascii="Calibri" w:eastAsia="Calibri" w:hAnsi="Calibri" w:cs="Times New Roman"/>
          <w:snapToGrid w:val="0"/>
          <w:lang w:eastAsia="nl-NL"/>
        </w:rPr>
        <w:t>pre-SMA</w:t>
      </w:r>
      <w:proofErr w:type="spellEnd"/>
      <w:r w:rsidRPr="00DB4A29">
        <w:rPr>
          <w:rFonts w:ascii="Calibri" w:eastAsia="Calibri" w:hAnsi="Calibri" w:cs="Times New Roman"/>
          <w:snapToGrid w:val="0"/>
          <w:lang w:eastAsia="nl-NL"/>
        </w:rPr>
        <w:t xml:space="preserve">) is betrokken bij het aanleren van nieuwe bewegingssequenties. Wanneer men echter reeds aangeleerde bewegingssequenties moet uitvoeren, wordt vooral de supplementaire motorisch </w:t>
      </w:r>
      <w:proofErr w:type="spellStart"/>
      <w:r w:rsidRPr="00DB4A29">
        <w:rPr>
          <w:rFonts w:ascii="Calibri" w:eastAsia="Calibri" w:hAnsi="Calibri" w:cs="Times New Roman"/>
          <w:snapToGrid w:val="0"/>
          <w:lang w:eastAsia="nl-NL"/>
        </w:rPr>
        <w:t>area</w:t>
      </w:r>
      <w:proofErr w:type="spellEnd"/>
      <w:r w:rsidRPr="00DB4A29">
        <w:rPr>
          <w:rFonts w:ascii="Calibri" w:eastAsia="Calibri" w:hAnsi="Calibri" w:cs="Times New Roman"/>
          <w:snapToGrid w:val="0"/>
          <w:lang w:eastAsia="nl-NL"/>
        </w:rPr>
        <w:t xml:space="preserve"> (SMA) geactiveerd. Deze zorgt ervoor dat de overeenkomstige motorische programma’s worden klaargezet. Ook visuele en andere sensorische informatie moet geïntegreerd worden om beweging te sturen. De laterale premotorische gebieden spelen hierin een rol. De </w:t>
      </w:r>
      <w:r w:rsidRPr="00DB4A29">
        <w:rPr>
          <w:rFonts w:ascii="Calibri" w:eastAsia="Calibri" w:hAnsi="Calibri" w:cs="Times New Roman"/>
        </w:rPr>
        <w:t xml:space="preserve">dorsale premotorische </w:t>
      </w:r>
      <w:proofErr w:type="spellStart"/>
      <w:r w:rsidRPr="00DB4A29">
        <w:rPr>
          <w:rFonts w:ascii="Calibri" w:eastAsia="Calibri" w:hAnsi="Calibri" w:cs="Times New Roman"/>
        </w:rPr>
        <w:t>area</w:t>
      </w:r>
      <w:proofErr w:type="spellEnd"/>
      <w:r w:rsidRPr="00DB4A29">
        <w:rPr>
          <w:rFonts w:ascii="Calibri" w:eastAsia="Calibri" w:hAnsi="Calibri" w:cs="Times New Roman"/>
        </w:rPr>
        <w:t xml:space="preserve"> (</w:t>
      </w:r>
      <w:proofErr w:type="spellStart"/>
      <w:r w:rsidRPr="00DB4A29">
        <w:rPr>
          <w:rFonts w:ascii="Calibri" w:eastAsia="Calibri" w:hAnsi="Calibri" w:cs="Times New Roman"/>
        </w:rPr>
        <w:t>PMd</w:t>
      </w:r>
      <w:proofErr w:type="spellEnd"/>
      <w:r w:rsidRPr="00DB4A29">
        <w:rPr>
          <w:rFonts w:ascii="Calibri" w:eastAsia="Calibri" w:hAnsi="Calibri" w:cs="Times New Roman"/>
        </w:rPr>
        <w:t xml:space="preserve">) is betrokken bij het leren van een associatie tussen een specifieke sensorische stimulus en een bepaalde beweging (associatief leren). De </w:t>
      </w:r>
      <w:proofErr w:type="spellStart"/>
      <w:r w:rsidRPr="00DB4A29">
        <w:rPr>
          <w:rFonts w:ascii="Calibri" w:eastAsia="Calibri" w:hAnsi="Calibri" w:cs="Times New Roman"/>
        </w:rPr>
        <w:t>ventrale</w:t>
      </w:r>
      <w:proofErr w:type="spellEnd"/>
      <w:r w:rsidRPr="00DB4A29">
        <w:rPr>
          <w:rFonts w:ascii="Calibri" w:eastAsia="Calibri" w:hAnsi="Calibri" w:cs="Times New Roman"/>
        </w:rPr>
        <w:t xml:space="preserve"> premotorische </w:t>
      </w:r>
      <w:proofErr w:type="spellStart"/>
      <w:r w:rsidRPr="00DB4A29">
        <w:rPr>
          <w:rFonts w:ascii="Calibri" w:eastAsia="Calibri" w:hAnsi="Calibri" w:cs="Times New Roman"/>
        </w:rPr>
        <w:t>area</w:t>
      </w:r>
      <w:proofErr w:type="spellEnd"/>
      <w:r w:rsidRPr="00DB4A29">
        <w:rPr>
          <w:rFonts w:ascii="Calibri" w:eastAsia="Calibri" w:hAnsi="Calibri" w:cs="Times New Roman"/>
        </w:rPr>
        <w:t xml:space="preserve"> (</w:t>
      </w:r>
      <w:proofErr w:type="spellStart"/>
      <w:r w:rsidRPr="00DB4A29">
        <w:rPr>
          <w:rFonts w:ascii="Calibri" w:eastAsia="Calibri" w:hAnsi="Calibri" w:cs="Times New Roman"/>
        </w:rPr>
        <w:t>PMv</w:t>
      </w:r>
      <w:proofErr w:type="spellEnd"/>
      <w:r w:rsidRPr="00DB4A29">
        <w:rPr>
          <w:rFonts w:ascii="Calibri" w:eastAsia="Calibri" w:hAnsi="Calibri" w:cs="Times New Roman"/>
        </w:rPr>
        <w:t xml:space="preserve">) stuurt bewegingen die beïnvloed worden door visuele informatie over specifieke eigenschappen (o.a. vorm en grootte) van een object. Al deze informatie vanuit de premotorische gebieden wordt </w:t>
      </w:r>
      <w:r w:rsidRPr="00DB4A29">
        <w:rPr>
          <w:rFonts w:ascii="Calibri" w:eastAsia="Calibri" w:hAnsi="Calibri" w:cs="Times New Roman"/>
          <w:snapToGrid w:val="0"/>
          <w:lang w:eastAsia="nl-NL"/>
        </w:rPr>
        <w:t xml:space="preserve">doorgegeven aan de primaire motorische cortex. In dit gebied bevinden zich </w:t>
      </w:r>
      <w:proofErr w:type="spellStart"/>
      <w:r w:rsidRPr="00DB4A29">
        <w:rPr>
          <w:rFonts w:ascii="Calibri" w:eastAsia="Calibri" w:hAnsi="Calibri" w:cs="Times New Roman"/>
          <w:snapToGrid w:val="0"/>
          <w:lang w:eastAsia="nl-NL"/>
        </w:rPr>
        <w:t>corticomotoneuronale</w:t>
      </w:r>
      <w:proofErr w:type="spellEnd"/>
      <w:r w:rsidRPr="00DB4A29">
        <w:rPr>
          <w:rFonts w:ascii="Calibri" w:eastAsia="Calibri" w:hAnsi="Calibri" w:cs="Times New Roman"/>
          <w:snapToGrid w:val="0"/>
          <w:lang w:eastAsia="nl-NL"/>
        </w:rPr>
        <w:t xml:space="preserve"> (CM) cellen. Deze </w:t>
      </w:r>
      <w:r w:rsidRPr="00DB4A29">
        <w:rPr>
          <w:rFonts w:ascii="Calibri" w:eastAsia="Calibri" w:hAnsi="Calibri" w:cs="Times New Roman"/>
        </w:rPr>
        <w:t xml:space="preserve">projecteren </w:t>
      </w:r>
      <w:proofErr w:type="spellStart"/>
      <w:r w:rsidRPr="00DB4A29">
        <w:rPr>
          <w:rFonts w:ascii="Calibri" w:eastAsia="Calibri" w:hAnsi="Calibri" w:cs="Times New Roman"/>
        </w:rPr>
        <w:t>monosynaptisch</w:t>
      </w:r>
      <w:proofErr w:type="spellEnd"/>
      <w:r w:rsidRPr="00DB4A29">
        <w:rPr>
          <w:rFonts w:ascii="Calibri" w:eastAsia="Calibri" w:hAnsi="Calibri" w:cs="Times New Roman"/>
        </w:rPr>
        <w:t xml:space="preserve"> naar meerdere motor nuclei en soms naar spieren die verschillende gewrichten controleren. Zo zorgt de primaire cortex voor de uitvoering van beweging.</w:t>
      </w:r>
    </w:p>
    <w:p w:rsidR="00DB4A29" w:rsidRDefault="00DB4A29" w:rsidP="00DB4A29">
      <w:pPr>
        <w:tabs>
          <w:tab w:val="left" w:pos="426"/>
        </w:tabs>
        <w:jc w:val="both"/>
        <w:rPr>
          <w:rFonts w:ascii="Calibri" w:eastAsia="Calibri" w:hAnsi="Calibri" w:cs="Times New Roman"/>
          <w:snapToGrid w:val="0"/>
          <w:lang w:eastAsia="nl-NL"/>
        </w:rPr>
      </w:pPr>
      <w:r w:rsidRPr="00DB4A29">
        <w:rPr>
          <w:rFonts w:ascii="Calibri" w:eastAsia="Calibri" w:hAnsi="Calibri" w:cs="Times New Roman"/>
          <w:snapToGrid w:val="0"/>
          <w:lang w:eastAsia="nl-NL"/>
        </w:rPr>
        <w:t xml:space="preserve">Vanaf V1 lopen er eveneens 2 paden. Deze verbinden V1 met specifieke gebieden die betrokken zijn bij visuele perceptie. De dorsale baan verbindt V1 met de posterieure </w:t>
      </w:r>
      <w:proofErr w:type="spellStart"/>
      <w:r w:rsidRPr="00DB4A29">
        <w:rPr>
          <w:rFonts w:ascii="Calibri" w:eastAsia="Calibri" w:hAnsi="Calibri" w:cs="Times New Roman"/>
          <w:snapToGrid w:val="0"/>
          <w:lang w:eastAsia="nl-NL"/>
        </w:rPr>
        <w:t>pariëtale</w:t>
      </w:r>
      <w:proofErr w:type="spellEnd"/>
      <w:r w:rsidRPr="00DB4A29">
        <w:rPr>
          <w:rFonts w:ascii="Calibri" w:eastAsia="Calibri" w:hAnsi="Calibri" w:cs="Times New Roman"/>
          <w:snapToGrid w:val="0"/>
          <w:lang w:eastAsia="nl-NL"/>
        </w:rPr>
        <w:t xml:space="preserve"> cortex (incl. de ‘</w:t>
      </w:r>
      <w:proofErr w:type="spellStart"/>
      <w:r w:rsidRPr="00DB4A29">
        <w:rPr>
          <w:rFonts w:ascii="Calibri" w:eastAsia="Calibri" w:hAnsi="Calibri" w:cs="Times New Roman"/>
          <w:snapToGrid w:val="0"/>
          <w:lang w:eastAsia="nl-NL"/>
        </w:rPr>
        <w:t>middle</w:t>
      </w:r>
      <w:proofErr w:type="spellEnd"/>
      <w:r w:rsidRPr="00DB4A29">
        <w:rPr>
          <w:rFonts w:ascii="Calibri" w:eastAsia="Calibri" w:hAnsi="Calibri" w:cs="Times New Roman"/>
          <w:snapToGrid w:val="0"/>
          <w:lang w:eastAsia="nl-NL"/>
        </w:rPr>
        <w:t xml:space="preserve"> temporal </w:t>
      </w:r>
      <w:proofErr w:type="spellStart"/>
      <w:r w:rsidRPr="00DB4A29">
        <w:rPr>
          <w:rFonts w:ascii="Calibri" w:eastAsia="Calibri" w:hAnsi="Calibri" w:cs="Times New Roman"/>
          <w:snapToGrid w:val="0"/>
          <w:lang w:eastAsia="nl-NL"/>
        </w:rPr>
        <w:t>area</w:t>
      </w:r>
      <w:proofErr w:type="spellEnd"/>
      <w:r w:rsidRPr="00DB4A29">
        <w:rPr>
          <w:rFonts w:ascii="Calibri" w:eastAsia="Calibri" w:hAnsi="Calibri" w:cs="Times New Roman"/>
          <w:snapToGrid w:val="0"/>
          <w:lang w:eastAsia="nl-NL"/>
        </w:rPr>
        <w:t xml:space="preserve">’ = MT = V5) en is gespecialiseerd in </w:t>
      </w:r>
      <w:proofErr w:type="spellStart"/>
      <w:r w:rsidRPr="00DB4A29">
        <w:rPr>
          <w:rFonts w:ascii="Calibri" w:eastAsia="Calibri" w:hAnsi="Calibri" w:cs="Times New Roman"/>
          <w:snapToGrid w:val="0"/>
          <w:lang w:eastAsia="nl-NL"/>
        </w:rPr>
        <w:t>spatiale</w:t>
      </w:r>
      <w:proofErr w:type="spellEnd"/>
      <w:r w:rsidRPr="00DB4A29">
        <w:rPr>
          <w:rFonts w:ascii="Calibri" w:eastAsia="Calibri" w:hAnsi="Calibri" w:cs="Times New Roman"/>
          <w:snapToGrid w:val="0"/>
          <w:lang w:eastAsia="nl-NL"/>
        </w:rPr>
        <w:t xml:space="preserve"> representatie (de ‘waar’-stroom). De </w:t>
      </w:r>
      <w:proofErr w:type="spellStart"/>
      <w:r w:rsidRPr="00DB4A29">
        <w:rPr>
          <w:rFonts w:ascii="Calibri" w:eastAsia="Calibri" w:hAnsi="Calibri" w:cs="Times New Roman"/>
          <w:snapToGrid w:val="0"/>
          <w:lang w:eastAsia="nl-NL"/>
        </w:rPr>
        <w:t>ventrale</w:t>
      </w:r>
      <w:proofErr w:type="spellEnd"/>
      <w:r w:rsidRPr="00DB4A29">
        <w:rPr>
          <w:rFonts w:ascii="Calibri" w:eastAsia="Calibri" w:hAnsi="Calibri" w:cs="Times New Roman"/>
          <w:snapToGrid w:val="0"/>
          <w:lang w:eastAsia="nl-NL"/>
        </w:rPr>
        <w:t xml:space="preserve"> baan verbindt V1 met de inferieure temporale cortex (incl. V4) en is gespecialiseerd in objectherkenning (de ‘wat’-stroom). </w:t>
      </w:r>
    </w:p>
    <w:p w:rsidR="00DB4A29" w:rsidRDefault="00DB4A29" w:rsidP="00DB4A29">
      <w:pPr>
        <w:tabs>
          <w:tab w:val="left" w:pos="426"/>
        </w:tabs>
        <w:jc w:val="both"/>
        <w:rPr>
          <w:rFonts w:ascii="Calibri" w:eastAsia="Calibri" w:hAnsi="Calibri" w:cs="Times New Roman"/>
          <w:snapToGrid w:val="0"/>
          <w:lang w:eastAsia="nl-NL"/>
        </w:rPr>
      </w:pPr>
    </w:p>
    <w:p w:rsidR="00DB4A29" w:rsidRDefault="00DB4A29" w:rsidP="00DB4A29">
      <w:pPr>
        <w:tabs>
          <w:tab w:val="left" w:pos="426"/>
        </w:tabs>
        <w:jc w:val="both"/>
        <w:rPr>
          <w:rFonts w:ascii="Calibri" w:eastAsia="Calibri" w:hAnsi="Calibri" w:cs="Times New Roman"/>
          <w:snapToGrid w:val="0"/>
          <w:lang w:eastAsia="nl-NL"/>
        </w:rPr>
      </w:pPr>
    </w:p>
    <w:p w:rsidR="00DB4A29" w:rsidRDefault="00DB4A29" w:rsidP="00DB4A29">
      <w:pPr>
        <w:tabs>
          <w:tab w:val="left" w:pos="426"/>
        </w:tabs>
        <w:jc w:val="both"/>
        <w:rPr>
          <w:rFonts w:ascii="Calibri" w:eastAsia="Calibri" w:hAnsi="Calibri" w:cs="Times New Roman"/>
          <w:snapToGrid w:val="0"/>
          <w:lang w:eastAsia="nl-NL"/>
        </w:rPr>
      </w:pPr>
    </w:p>
    <w:p w:rsidR="00DB4A29" w:rsidRPr="00DB4A29" w:rsidRDefault="00DB4A29" w:rsidP="00DB4A29">
      <w:pPr>
        <w:tabs>
          <w:tab w:val="left" w:pos="426"/>
        </w:tabs>
        <w:jc w:val="both"/>
        <w:rPr>
          <w:rFonts w:ascii="Calibri" w:eastAsia="Calibri" w:hAnsi="Calibri" w:cs="Times New Roman"/>
          <w:snapToGrid w:val="0"/>
          <w:lang w:eastAsia="nl-NL"/>
        </w:rPr>
      </w:pPr>
    </w:p>
    <w:p w:rsidR="003656A7" w:rsidRDefault="003656A7" w:rsidP="003656A7"/>
    <w:p w:rsidR="00DB4A29" w:rsidRPr="003656A7" w:rsidRDefault="00DB4A29" w:rsidP="003656A7">
      <w:r>
        <w:rPr>
          <w:noProof/>
          <w:lang w:eastAsia="nl-BE"/>
        </w:rPr>
        <w:drawing>
          <wp:inline distT="0" distB="0" distL="0" distR="0">
            <wp:extent cx="2400300" cy="2029345"/>
            <wp:effectExtent l="19050" t="0" r="0" b="0"/>
            <wp:docPr id="5" name="Afbeelding 7" descr="[Premotor+corte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remotor+cortex.jpg]"/>
                    <pic:cNvPicPr>
                      <a:picLocks noChangeAspect="1" noChangeArrowheads="1"/>
                    </pic:cNvPicPr>
                  </pic:nvPicPr>
                  <pic:blipFill>
                    <a:blip r:embed="rId16" cstate="print"/>
                    <a:srcRect/>
                    <a:stretch>
                      <a:fillRect/>
                    </a:stretch>
                  </pic:blipFill>
                  <pic:spPr bwMode="auto">
                    <a:xfrm>
                      <a:off x="0" y="0"/>
                      <a:ext cx="2400300" cy="2029345"/>
                    </a:xfrm>
                    <a:prstGeom prst="rect">
                      <a:avLst/>
                    </a:prstGeom>
                    <a:noFill/>
                    <a:ln w="9525">
                      <a:noFill/>
                      <a:miter lim="800000"/>
                      <a:headEnd/>
                      <a:tailEnd/>
                    </a:ln>
                  </pic:spPr>
                </pic:pic>
              </a:graphicData>
            </a:graphic>
          </wp:inline>
        </w:drawing>
      </w:r>
      <w:r>
        <w:rPr>
          <w:noProof/>
          <w:lang w:eastAsia="nl-BE"/>
        </w:rPr>
        <w:drawing>
          <wp:inline distT="0" distB="0" distL="0" distR="0">
            <wp:extent cx="2581275" cy="1865083"/>
            <wp:effectExtent l="19050" t="0" r="9525" b="0"/>
            <wp:docPr id="6" name="Afbeelding 10" descr="http://thebrain.mcgill.ca/flash/i/i_10/i_10_cr/i_10_cr_lan/i_10_cr_lan_1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thebrain.mcgill.ca/flash/i/i_10/i_10_cr/i_10_cr_lan/i_10_cr_lan_1a.jpg"/>
                    <pic:cNvPicPr>
                      <a:picLocks noChangeAspect="1" noChangeArrowheads="1"/>
                    </pic:cNvPicPr>
                  </pic:nvPicPr>
                  <pic:blipFill>
                    <a:blip r:embed="rId17" cstate="print"/>
                    <a:srcRect/>
                    <a:stretch>
                      <a:fillRect/>
                    </a:stretch>
                  </pic:blipFill>
                  <pic:spPr bwMode="auto">
                    <a:xfrm>
                      <a:off x="0" y="0"/>
                      <a:ext cx="2581275" cy="1865083"/>
                    </a:xfrm>
                    <a:prstGeom prst="rect">
                      <a:avLst/>
                    </a:prstGeom>
                    <a:noFill/>
                    <a:ln w="9525">
                      <a:noFill/>
                      <a:miter lim="800000"/>
                      <a:headEnd/>
                      <a:tailEnd/>
                    </a:ln>
                  </pic:spPr>
                </pic:pic>
              </a:graphicData>
            </a:graphic>
          </wp:inline>
        </w:drawing>
      </w:r>
    </w:p>
    <w:sectPr w:rsidR="00DB4A29" w:rsidRPr="003656A7" w:rsidSect="00E6215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defaultTabStop w:val="708"/>
  <w:hyphenationZone w:val="425"/>
  <w:characterSpacingControl w:val="doNotCompress"/>
  <w:compat/>
  <w:rsids>
    <w:rsidRoot w:val="003656A7"/>
    <w:rsid w:val="003656A7"/>
    <w:rsid w:val="00A87AB1"/>
    <w:rsid w:val="00B37B5B"/>
    <w:rsid w:val="00DB4A29"/>
    <w:rsid w:val="00E6215D"/>
    <w:rsid w:val="00E70499"/>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6215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3656A7"/>
    <w:rPr>
      <w:color w:val="0000FF"/>
      <w:u w:val="single"/>
    </w:rPr>
  </w:style>
  <w:style w:type="paragraph" w:styleId="Ballontekst">
    <w:name w:val="Balloon Text"/>
    <w:basedOn w:val="Standaard"/>
    <w:link w:val="BallontekstChar"/>
    <w:uiPriority w:val="99"/>
    <w:semiHidden/>
    <w:unhideWhenUsed/>
    <w:rsid w:val="003656A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3656A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l.wikipedia.org/wiki/Sulcus_centralis" TargetMode="External"/><Relationship Id="rId13" Type="http://schemas.openxmlformats.org/officeDocument/2006/relationships/hyperlink" Target="http://nl.wikipedia.org/wiki/Supplementaire_motorische_schors"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nl.wikipedia.org/wiki/Brodmann" TargetMode="External"/><Relationship Id="rId12" Type="http://schemas.openxmlformats.org/officeDocument/2006/relationships/hyperlink" Target="http://nl.wikipedia.org/w/index.php?title=Premotorische_schors&amp;action=edit&amp;redlink=1" TargetMode="External"/><Relationship Id="rId17" Type="http://schemas.openxmlformats.org/officeDocument/2006/relationships/image" Target="media/image4.jpeg"/><Relationship Id="rId2" Type="http://schemas.openxmlformats.org/officeDocument/2006/relationships/settings" Target="settings.xml"/><Relationship Id="rId16" Type="http://schemas.openxmlformats.org/officeDocument/2006/relationships/image" Target="media/image3.jpeg"/><Relationship Id="rId1" Type="http://schemas.openxmlformats.org/officeDocument/2006/relationships/styles" Target="styles.xml"/><Relationship Id="rId6" Type="http://schemas.openxmlformats.org/officeDocument/2006/relationships/hyperlink" Target="http://nl.wikipedia.org/wiki/Pari%C3%ABtale_kwab" TargetMode="External"/><Relationship Id="rId11" Type="http://schemas.openxmlformats.org/officeDocument/2006/relationships/hyperlink" Target="http://nl.wikipedia.org/wiki/Gyrus_praecentralis" TargetMode="External"/><Relationship Id="rId5" Type="http://schemas.openxmlformats.org/officeDocument/2006/relationships/image" Target="media/image1.png"/><Relationship Id="rId15" Type="http://schemas.openxmlformats.org/officeDocument/2006/relationships/image" Target="media/image2.png"/><Relationship Id="rId10" Type="http://schemas.openxmlformats.org/officeDocument/2006/relationships/hyperlink" Target="http://nl.wikipedia.org/wiki/Sulcus_centralis" TargetMode="External"/><Relationship Id="rId19" Type="http://schemas.openxmlformats.org/officeDocument/2006/relationships/theme" Target="theme/theme1.xml"/><Relationship Id="rId4" Type="http://schemas.openxmlformats.org/officeDocument/2006/relationships/hyperlink" Target="http://upload.wikimedia.org/wikipedia/commons/3/33/Gray726-Brodman.png" TargetMode="External"/><Relationship Id="rId9" Type="http://schemas.openxmlformats.org/officeDocument/2006/relationships/hyperlink" Target="http://nl.wikipedia.org/w/index.php?title=Primaire_motorische_schors&amp;action=edit&amp;redlink=1" TargetMode="External"/><Relationship Id="rId14" Type="http://schemas.openxmlformats.org/officeDocument/2006/relationships/hyperlink" Target="http://upload.wikimedia.org/wikipedia/commons/e/ec/Gehirn%2C_lateral_-_Hauptgyri_beschriftet.svg"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3</Pages>
  <Words>745</Words>
  <Characters>4101</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dc:creator>
  <cp:lastModifiedBy>Karen</cp:lastModifiedBy>
  <cp:revision>1</cp:revision>
  <cp:lastPrinted>2010-05-28T08:19:00Z</cp:lastPrinted>
  <dcterms:created xsi:type="dcterms:W3CDTF">2010-05-28T07:58:00Z</dcterms:created>
  <dcterms:modified xsi:type="dcterms:W3CDTF">2010-05-28T08:30:00Z</dcterms:modified>
</cp:coreProperties>
</file>