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8A" w:rsidRDefault="009F23E5" w:rsidP="00295E8A">
      <w:pPr>
        <w:pStyle w:val="Title"/>
      </w:pPr>
      <w:r w:rsidRPr="00A17925">
        <w:t xml:space="preserve">Oefeningen </w:t>
      </w:r>
    </w:p>
    <w:p w:rsidR="00295E8A" w:rsidRDefault="00A17925" w:rsidP="00963247">
      <w:pPr>
        <w:pStyle w:val="Heading1"/>
      </w:pPr>
      <w:r w:rsidRPr="00A17925">
        <w:t>Redigeer:</w:t>
      </w:r>
    </w:p>
    <w:p w:rsidR="00295E8A" w:rsidRDefault="00295E8A" w:rsidP="00295E8A">
      <w:pPr>
        <w:spacing w:after="240"/>
      </w:pPr>
      <w:r w:rsidRPr="00A17925">
        <w:t xml:space="preserve">Dat is een vaste standaarduitdrukking voor die beroepsgroep. </w:t>
      </w:r>
    </w:p>
    <w:p w:rsidR="00295E8A" w:rsidRDefault="00295E8A" w:rsidP="00295E8A">
      <w:pPr>
        <w:spacing w:after="240"/>
      </w:pPr>
    </w:p>
    <w:p w:rsidR="00295E8A" w:rsidRDefault="00295E8A" w:rsidP="00295E8A">
      <w:pPr>
        <w:spacing w:after="240"/>
      </w:pPr>
    </w:p>
    <w:p w:rsidR="00295E8A" w:rsidRDefault="00BF7A42" w:rsidP="00295E8A">
      <w:pPr>
        <w:spacing w:after="240"/>
      </w:pPr>
      <w:r w:rsidRPr="00BF7A42">
        <w:t xml:space="preserve">Uit een groot aantal onderzoeken naar de begrijpelijkheid en het acceptatieniveau van verschillende soorten teksten, waaronder zakelijke briefteksten en waaraan diverse doelgroepen hebben deelgenomen, kan </w:t>
      </w:r>
      <w:proofErr w:type="gramStart"/>
      <w:r w:rsidRPr="00BF7A42">
        <w:t>in het algemeen</w:t>
      </w:r>
      <w:proofErr w:type="gramEnd"/>
      <w:r w:rsidRPr="00BF7A42">
        <w:t xml:space="preserve"> geconcludeerd worden dat het algemene publiek, waarbij geen onderscheid wordt gemaakt naar leeftijd en sociale klasse, zinnen van niet meer dan vijftien woorden niet alleen beter kunnen begrijpen, maar oo</w:t>
      </w:r>
      <w:r>
        <w:t>k eerder als acceptabel ervaren</w:t>
      </w:r>
      <w:r w:rsidR="00295E8A">
        <w:t>.</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De nieuwe begroting </w:t>
      </w:r>
      <w:r>
        <w:t xml:space="preserve">zal </w:t>
      </w:r>
      <w:r w:rsidRPr="00A17925">
        <w:t xml:space="preserve">morgen aan de Kamer voorgelegd </w:t>
      </w:r>
      <w:r>
        <w:t xml:space="preserve">worden </w:t>
      </w:r>
      <w:r w:rsidRPr="00A17925">
        <w:t xml:space="preserve">en daarna </w:t>
      </w:r>
      <w:r>
        <w:t xml:space="preserve">zal </w:t>
      </w:r>
      <w:r w:rsidRPr="00A17925">
        <w:t>de regering een persconferentie</w:t>
      </w:r>
      <w:r>
        <w:t xml:space="preserve"> geven</w:t>
      </w:r>
      <w:r w:rsidRPr="00A17925">
        <w:t xml:space="preserve">. </w:t>
      </w:r>
    </w:p>
    <w:p w:rsidR="00295E8A" w:rsidRDefault="00295E8A" w:rsidP="00295E8A">
      <w:pPr>
        <w:spacing w:after="240"/>
      </w:pPr>
    </w:p>
    <w:p w:rsidR="00295E8A" w:rsidRDefault="00295E8A" w:rsidP="00295E8A">
      <w:pPr>
        <w:spacing w:after="240"/>
      </w:pPr>
    </w:p>
    <w:p w:rsidR="00295E8A" w:rsidRDefault="00295E8A" w:rsidP="00295E8A">
      <w:pPr>
        <w:spacing w:after="240"/>
      </w:pPr>
      <w:r>
        <w:t>Hij deed onderzoek door proeven te doen bij studenten en door een enquête te doen bij docenten.</w:t>
      </w:r>
    </w:p>
    <w:p w:rsidR="00295E8A" w:rsidRDefault="00295E8A" w:rsidP="00295E8A">
      <w:pPr>
        <w:spacing w:after="240"/>
      </w:pPr>
    </w:p>
    <w:p w:rsidR="00295E8A" w:rsidRDefault="00295E8A" w:rsidP="00295E8A">
      <w:pPr>
        <w:spacing w:after="240"/>
      </w:pPr>
    </w:p>
    <w:p w:rsidR="00295E8A" w:rsidRDefault="00295E8A" w:rsidP="00295E8A">
      <w:pPr>
        <w:pStyle w:val="Default"/>
        <w:spacing w:after="240"/>
        <w:rPr>
          <w:rFonts w:asciiTheme="minorHAnsi" w:hAnsiTheme="minorHAnsi"/>
          <w:sz w:val="22"/>
          <w:szCs w:val="22"/>
        </w:rPr>
      </w:pPr>
      <w:r w:rsidRPr="00A17925">
        <w:rPr>
          <w:rFonts w:asciiTheme="minorHAnsi" w:hAnsiTheme="minorHAnsi"/>
          <w:sz w:val="22"/>
          <w:szCs w:val="22"/>
        </w:rPr>
        <w:t xml:space="preserve">De reden waarom ik schrijf is om u uit te nodigen op een vergadering van 8 december, tussen 19.00u-21.00u. </w:t>
      </w:r>
    </w:p>
    <w:p w:rsidR="00295E8A" w:rsidRDefault="00295E8A" w:rsidP="00295E8A">
      <w:pPr>
        <w:pStyle w:val="Default"/>
        <w:spacing w:after="240"/>
        <w:rPr>
          <w:rFonts w:asciiTheme="minorHAnsi" w:hAnsiTheme="minorHAnsi"/>
          <w:sz w:val="22"/>
          <w:szCs w:val="22"/>
        </w:rPr>
      </w:pPr>
    </w:p>
    <w:p w:rsidR="00295E8A" w:rsidRDefault="00295E8A" w:rsidP="00295E8A">
      <w:pPr>
        <w:pStyle w:val="Default"/>
        <w:spacing w:after="240"/>
        <w:rPr>
          <w:rFonts w:asciiTheme="minorHAnsi" w:hAnsiTheme="minorHAnsi"/>
          <w:sz w:val="22"/>
          <w:szCs w:val="22"/>
        </w:rPr>
      </w:pPr>
    </w:p>
    <w:p w:rsidR="00295E8A" w:rsidRDefault="00295E8A" w:rsidP="00295E8A">
      <w:pPr>
        <w:spacing w:after="240"/>
      </w:pPr>
      <w:r>
        <w:t>De webmaster verwijderde de pagina niet.</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Door je woordenschat te vereenvoudigen, je spreektempo te verlagen, korte pauzes te laten vallen en kortere zinnen te gebruiken, maak je </w:t>
      </w:r>
      <w:proofErr w:type="spellStart"/>
      <w:r w:rsidRPr="00A17925">
        <w:t>je</w:t>
      </w:r>
      <w:proofErr w:type="spellEnd"/>
      <w:r w:rsidRPr="00A17925">
        <w:t xml:space="preserve"> spreekaanbod duidelijker.</w:t>
      </w:r>
    </w:p>
    <w:p w:rsidR="00295E8A" w:rsidRDefault="00295E8A" w:rsidP="00295E8A">
      <w:pPr>
        <w:spacing w:after="240"/>
      </w:pPr>
    </w:p>
    <w:p w:rsidR="00295E8A" w:rsidRDefault="00295E8A" w:rsidP="00295E8A">
      <w:pPr>
        <w:spacing w:after="240"/>
      </w:pPr>
    </w:p>
    <w:p w:rsidR="00295E8A" w:rsidRDefault="00295E8A" w:rsidP="00295E8A">
      <w:pPr>
        <w:spacing w:after="240"/>
      </w:pPr>
      <w:r>
        <w:t>Omdat enkele collega’s plannen maakten om bezwaar te maken, moest de docent een nieuw examen maken.</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En als we dan thuis gaan </w:t>
      </w:r>
      <w:r>
        <w:t>aan</w:t>
      </w:r>
      <w:r w:rsidRPr="00A17925">
        <w:t xml:space="preserve">komen, dan zullen we nog wat drinken. </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Het scheelde een haartje of het was bijna fataal afgelopen. </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Kwaadwillige laster veroorzaakt veel verdriet. </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Bij het schrijven een vergaderverslag is het van wezenlijk belang dat per agendapunt de essentie genoteerd wordt. Hiervoor moeten de hoofd- en bijzaken van elkaar onderscheiden worden. </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Mike gedraagt zich vaak arrogant en maakt </w:t>
      </w:r>
      <w:r>
        <w:t>collega’s</w:t>
      </w:r>
      <w:r w:rsidRPr="00A17925">
        <w:t xml:space="preserve"> belachelijk. Hij is zeer beïnvloedbaar, hij is een meeloper die niet zelf denkt, maar doet wat anderen zeggen of doen. Hij zou een heel toffe gast kunnen zijn, maar dan moet hij wel zichzelf zijn en niet iemand anders. </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Naast diepzeeduikers die de grote vissen verdrijven en toeristen die het strand vervuilen zijn er nog andere </w:t>
      </w:r>
      <w:proofErr w:type="spellStart"/>
      <w:r w:rsidRPr="00A17925">
        <w:t>vervuilingsoorzaken</w:t>
      </w:r>
      <w:proofErr w:type="spellEnd"/>
      <w:r w:rsidRPr="00A17925">
        <w:t>, vooral dan de supertankers en cargo</w:t>
      </w:r>
      <w:r w:rsidRPr="00295E8A">
        <w:rPr>
          <w:rFonts w:eastAsia="MS Mincho" w:hAnsi="MS Mincho" w:cs="MS Mincho"/>
        </w:rPr>
        <w:t>‟</w:t>
      </w:r>
      <w:r w:rsidRPr="00A17925">
        <w:t xml:space="preserve">s die hun ruim spoelen in volle zee en zo de kusten van </w:t>
      </w:r>
      <w:proofErr w:type="spellStart"/>
      <w:r w:rsidRPr="00A17925">
        <w:t>Noord-Afrika</w:t>
      </w:r>
      <w:proofErr w:type="spellEnd"/>
      <w:r w:rsidRPr="00A17925">
        <w:t xml:space="preserve"> met een dunne laag olie bestrijken, wat vooral de vogels bedreigt, en verder kerncentrales die water pompen voor de koeling en het meer dan 30°C warme water terug in zee lozen waardoor de Middellandse </w:t>
      </w:r>
      <w:proofErr w:type="spellStart"/>
      <w:r w:rsidRPr="00A17925">
        <w:t>Zee-vegetatie</w:t>
      </w:r>
      <w:proofErr w:type="spellEnd"/>
      <w:r w:rsidRPr="00A17925">
        <w:t xml:space="preserve"> onmogelijk kan overleven. </w:t>
      </w:r>
    </w:p>
    <w:p w:rsidR="00295E8A" w:rsidRDefault="00295E8A" w:rsidP="00295E8A">
      <w:pPr>
        <w:spacing w:after="240"/>
      </w:pPr>
    </w:p>
    <w:p w:rsidR="00295E8A" w:rsidRDefault="00295E8A" w:rsidP="00295E8A">
      <w:pPr>
        <w:spacing w:after="240"/>
      </w:pPr>
    </w:p>
    <w:p w:rsidR="00295E8A" w:rsidRDefault="00295E8A" w:rsidP="00295E8A">
      <w:pPr>
        <w:spacing w:after="240"/>
      </w:pPr>
      <w:r w:rsidRPr="00A17925">
        <w:t xml:space="preserve">Nadat hij de vergadering geopend had, bracht de voorzitter, die na maandenlange afwezigheid zijn rentree maakte, hulde aan zijn vervanger die, zo wilde hij duidelijk stellen, zich bijzonder diplomatisch van zijn taak gekweten had, wat helemaal niet voor de hand ligt gezien de delicate problemen waarmee de organisatie zich recent geconfronteerd zag. </w:t>
      </w:r>
    </w:p>
    <w:p w:rsidR="00295E8A" w:rsidRDefault="00295E8A" w:rsidP="00295E8A">
      <w:pPr>
        <w:spacing w:after="240"/>
      </w:pPr>
    </w:p>
    <w:p w:rsidR="00963247" w:rsidRDefault="00963247" w:rsidP="00295E8A">
      <w:pPr>
        <w:spacing w:after="240"/>
      </w:pPr>
    </w:p>
    <w:p w:rsidR="00963247" w:rsidRDefault="00BF7A42" w:rsidP="00295E8A">
      <w:pPr>
        <w:spacing w:after="240"/>
      </w:pPr>
      <w:r w:rsidRPr="00BF7A42">
        <w:t>Hij levert een inspanning om tot verbetering van zijn positie te komen.</w:t>
      </w:r>
    </w:p>
    <w:p w:rsidR="00BF7A42" w:rsidRDefault="00BF7A42" w:rsidP="00295E8A">
      <w:pPr>
        <w:spacing w:after="240"/>
      </w:pPr>
    </w:p>
    <w:p w:rsidR="00BF7A42" w:rsidRDefault="00BF7A42" w:rsidP="00295E8A">
      <w:pPr>
        <w:spacing w:after="240"/>
      </w:pPr>
    </w:p>
    <w:p w:rsidR="00BF7A42" w:rsidRDefault="00BF7A42" w:rsidP="00BF7A42">
      <w:pPr>
        <w:spacing w:after="240"/>
      </w:pPr>
      <w:r w:rsidRPr="00BF7A42">
        <w:t>Het antwoord zal u worden gegeven door een van onze medewerkers.</w:t>
      </w:r>
    </w:p>
    <w:p w:rsidR="00BF7A42" w:rsidRDefault="00BF7A42" w:rsidP="00295E8A">
      <w:pPr>
        <w:spacing w:after="240"/>
      </w:pPr>
    </w:p>
    <w:p w:rsidR="00BF7A42" w:rsidRDefault="00BF7A42" w:rsidP="00295E8A">
      <w:pPr>
        <w:spacing w:after="240"/>
      </w:pPr>
    </w:p>
    <w:p w:rsidR="00BF7A42" w:rsidRDefault="00BF7A42" w:rsidP="00295E8A">
      <w:pPr>
        <w:spacing w:after="240"/>
      </w:pPr>
      <w:r w:rsidRPr="00BF7A42">
        <w:t>Je vindt dat toch ook een spuuglelijk krot?</w:t>
      </w:r>
    </w:p>
    <w:p w:rsidR="00BF7A42" w:rsidRDefault="00BF7A42" w:rsidP="00295E8A">
      <w:pPr>
        <w:spacing w:after="240"/>
      </w:pPr>
    </w:p>
    <w:p w:rsidR="00BF7A42" w:rsidRDefault="00BF7A42" w:rsidP="00295E8A">
      <w:pPr>
        <w:spacing w:after="240"/>
      </w:pPr>
    </w:p>
    <w:p w:rsidR="00BF7A42" w:rsidRPr="00BF7A42" w:rsidRDefault="00BF7A42" w:rsidP="00BF7A42">
      <w:pPr>
        <w:spacing w:before="120"/>
      </w:pPr>
      <w:hyperlink r:id="rId5" w:history="1">
        <w:r w:rsidRPr="00BF7A42">
          <w:rPr>
            <w:rStyle w:val="Hyperlink"/>
          </w:rPr>
          <w:t>Helsinki</w:t>
        </w:r>
      </w:hyperlink>
      <w:r w:rsidRPr="00BF7A42">
        <w:t xml:space="preserve"> ligt ongeveer 80 kilometer ten </w:t>
      </w:r>
      <w:r>
        <w:t>n</w:t>
      </w:r>
      <w:r w:rsidRPr="00BF7A42">
        <w:t xml:space="preserve">oorden van </w:t>
      </w:r>
      <w:hyperlink r:id="rId6" w:tooltip="Tallinn" w:history="1">
        <w:r w:rsidRPr="00BF7A42">
          <w:rPr>
            <w:rStyle w:val="Hyperlink"/>
          </w:rPr>
          <w:t>Tallinn</w:t>
        </w:r>
      </w:hyperlink>
      <w:r w:rsidRPr="00BF7A42">
        <w:t xml:space="preserve">, </w:t>
      </w:r>
      <w:hyperlink r:id="rId7" w:tooltip="Estonia" w:history="1">
        <w:r w:rsidRPr="00BF7A42">
          <w:rPr>
            <w:rStyle w:val="Hyperlink"/>
          </w:rPr>
          <w:t>Estland</w:t>
        </w:r>
      </w:hyperlink>
      <w:r w:rsidRPr="00BF7A42">
        <w:t xml:space="preserve">, 400 kilometer ten oosten van </w:t>
      </w:r>
      <w:hyperlink r:id="rId8" w:tooltip="Stockholm" w:history="1">
        <w:r w:rsidRPr="00BF7A42">
          <w:rPr>
            <w:rStyle w:val="Hyperlink"/>
          </w:rPr>
          <w:t>Stockholm</w:t>
        </w:r>
      </w:hyperlink>
      <w:r w:rsidRPr="00BF7A42">
        <w:t xml:space="preserve">, </w:t>
      </w:r>
      <w:hyperlink r:id="rId9" w:tooltip="Sweden" w:history="1">
        <w:r>
          <w:rPr>
            <w:rStyle w:val="Hyperlink"/>
          </w:rPr>
          <w:t>Z</w:t>
        </w:r>
        <w:r w:rsidRPr="00BF7A42">
          <w:rPr>
            <w:rStyle w:val="Hyperlink"/>
          </w:rPr>
          <w:t>weden</w:t>
        </w:r>
      </w:hyperlink>
      <w:r w:rsidRPr="00BF7A42">
        <w:t xml:space="preserve">, </w:t>
      </w:r>
      <w:r>
        <w:t>en</w:t>
      </w:r>
      <w:r w:rsidRPr="00BF7A42">
        <w:t xml:space="preserve"> 300 </w:t>
      </w:r>
      <w:r>
        <w:t>kilometer ten westen van</w:t>
      </w:r>
      <w:r w:rsidRPr="00BF7A42">
        <w:t xml:space="preserve"> </w:t>
      </w:r>
      <w:hyperlink r:id="rId10" w:tooltip="Saint Petersburg" w:history="1">
        <w:r w:rsidRPr="00BF7A42">
          <w:rPr>
            <w:rStyle w:val="Hyperlink"/>
          </w:rPr>
          <w:t>S</w:t>
        </w:r>
        <w:r>
          <w:rPr>
            <w:rStyle w:val="Hyperlink"/>
          </w:rPr>
          <w:t>int-Petersburg</w:t>
        </w:r>
      </w:hyperlink>
      <w:r w:rsidRPr="00BF7A42">
        <w:t xml:space="preserve">, </w:t>
      </w:r>
      <w:hyperlink r:id="rId11" w:tooltip="Russia" w:history="1">
        <w:r w:rsidRPr="00BF7A42">
          <w:rPr>
            <w:rStyle w:val="Hyperlink"/>
          </w:rPr>
          <w:t>Rus</w:t>
        </w:r>
        <w:r>
          <w:rPr>
            <w:rStyle w:val="Hyperlink"/>
          </w:rPr>
          <w:t>land</w:t>
        </w:r>
      </w:hyperlink>
      <w:r w:rsidRPr="00BF7A42">
        <w:t xml:space="preserve">. </w:t>
      </w:r>
      <w:hyperlink r:id="rId12" w:history="1">
        <w:r w:rsidRPr="00BF7A42">
          <w:rPr>
            <w:rStyle w:val="Hyperlink"/>
          </w:rPr>
          <w:t>Helsinki</w:t>
        </w:r>
      </w:hyperlink>
      <w:r w:rsidRPr="00BF7A42">
        <w:t xml:space="preserve"> </w:t>
      </w:r>
      <w:r>
        <w:t>heeft</w:t>
      </w:r>
      <w:r w:rsidRPr="00BF7A42">
        <w:t xml:space="preserve"> </w:t>
      </w:r>
      <w:hyperlink r:id="rId13" w:tooltip="History of Helsinki" w:history="1">
        <w:r>
          <w:rPr>
            <w:rStyle w:val="Hyperlink"/>
          </w:rPr>
          <w:t>nauwe historische verbanden</w:t>
        </w:r>
      </w:hyperlink>
      <w:r w:rsidRPr="00BF7A42">
        <w:t xml:space="preserve"> </w:t>
      </w:r>
      <w:r>
        <w:t>met deze drie steden</w:t>
      </w:r>
      <w:r w:rsidRPr="00BF7A42">
        <w:t>.</w:t>
      </w:r>
    </w:p>
    <w:p w:rsidR="00BF7A42" w:rsidRDefault="00BF7A42" w:rsidP="00295E8A">
      <w:pPr>
        <w:spacing w:after="240"/>
      </w:pPr>
    </w:p>
    <w:p w:rsidR="00963247" w:rsidRDefault="00963247" w:rsidP="00963247">
      <w:pPr>
        <w:pStyle w:val="Heading1"/>
      </w:pPr>
      <w:r>
        <w:t>Definieer de structuur van de volgende onbewerkte tekst</w:t>
      </w:r>
    </w:p>
    <w:p w:rsidR="004247DD" w:rsidRDefault="004247DD" w:rsidP="004247DD">
      <w:pPr>
        <w:pStyle w:val="Heading2"/>
      </w:pPr>
      <w:r>
        <w:t>Tekst 1</w:t>
      </w:r>
    </w:p>
    <w:p w:rsidR="004247DD" w:rsidRDefault="004247DD" w:rsidP="004247DD">
      <w:r>
        <w:t>Het Vlaams Gewest is een gebiedsgebonden overheid in België. Meestal wordt het Vlaams Gewest (met of zonder het Brussels Hoofdstedelijk Gewest) gewoon Vlaanderen genoemd, het gewest is een deel van de Belgische structuur van gemeenschappen en gewesten. De officiële taal is Nederlands. Door de onmiddellijke fusie van de Vlaamse gewestelijke en gemeenschapsinstellingen (wat bij het Waalse gewest en de Franse gemeenschap niet het geval is) bestaan er in praktijk geen aparte diensten, noch bestuursraden, noch een deelregering voor het Vlaamse gewest. De bevoegdheden van het Gewest zijn vastgelegd in de Belgische Grondwet en de Bijzondere Wet op de Hervorming van de Instellingen. Het Vlaams Gewest heeft geen bevoegdheden in Brussel.</w:t>
      </w:r>
    </w:p>
    <w:p w:rsidR="004247DD" w:rsidRDefault="004247DD" w:rsidP="004247DD">
      <w:r>
        <w:lastRenderedPageBreak/>
        <w:t xml:space="preserve">Bij de oprichting van het Vlaams Gewest en de Vlaamse Gemeenschap werden beiden onmiddellijk samengevoegd. Deze constructie resulteerde in de </w:t>
      </w:r>
      <w:r w:rsidR="00263C58">
        <w:t>ambigue</w:t>
      </w:r>
      <w:r>
        <w:t xml:space="preserve"> rol die Brussel heeft als hoofdstad van Vlaanderen. Vlaanderen heeft, als overkoepelende term voor het Vlaams Gewest en de Vlaamse Gemeenschap, een regering en een parlement die zetelen in Brussel. Brussel behoort </w:t>
      </w:r>
      <w:proofErr w:type="gramStart"/>
      <w:r>
        <w:t>evenwel</w:t>
      </w:r>
      <w:proofErr w:type="gramEnd"/>
      <w:r>
        <w:t xml:space="preserve"> tot het Brussels Hoofdstedelijk Gewest.</w:t>
      </w:r>
    </w:p>
    <w:tbl>
      <w:tblPr>
        <w:tblStyle w:val="TableGrid"/>
        <w:tblW w:w="0" w:type="auto"/>
        <w:tblLook w:val="04A0"/>
      </w:tblPr>
      <w:tblGrid>
        <w:gridCol w:w="1333"/>
        <w:gridCol w:w="1487"/>
        <w:gridCol w:w="1497"/>
        <w:gridCol w:w="1464"/>
        <w:gridCol w:w="1500"/>
        <w:gridCol w:w="2007"/>
      </w:tblGrid>
      <w:tr w:rsidR="004247DD" w:rsidRPr="004247DD" w:rsidTr="004247DD">
        <w:tc>
          <w:tcPr>
            <w:tcW w:w="1535" w:type="dxa"/>
          </w:tcPr>
          <w:p w:rsidR="004247DD" w:rsidRPr="004247DD" w:rsidRDefault="004247DD" w:rsidP="00A40408"/>
        </w:tc>
        <w:tc>
          <w:tcPr>
            <w:tcW w:w="1535" w:type="dxa"/>
          </w:tcPr>
          <w:p w:rsidR="004247DD" w:rsidRPr="004247DD" w:rsidRDefault="004247DD" w:rsidP="00A40408">
            <w:r w:rsidRPr="004247DD">
              <w:t xml:space="preserve">Provincie </w:t>
            </w:r>
          </w:p>
        </w:tc>
        <w:tc>
          <w:tcPr>
            <w:tcW w:w="1535" w:type="dxa"/>
          </w:tcPr>
          <w:p w:rsidR="004247DD" w:rsidRPr="004247DD" w:rsidRDefault="004247DD" w:rsidP="00A40408">
            <w:r w:rsidRPr="004247DD">
              <w:t xml:space="preserve">Hoofdplaats </w:t>
            </w:r>
          </w:p>
        </w:tc>
        <w:tc>
          <w:tcPr>
            <w:tcW w:w="1535" w:type="dxa"/>
          </w:tcPr>
          <w:p w:rsidR="004247DD" w:rsidRPr="004247DD" w:rsidRDefault="004247DD" w:rsidP="00A40408">
            <w:r w:rsidRPr="004247DD">
              <w:t xml:space="preserve">Bevolking </w:t>
            </w:r>
          </w:p>
        </w:tc>
        <w:tc>
          <w:tcPr>
            <w:tcW w:w="1536" w:type="dxa"/>
          </w:tcPr>
          <w:p w:rsidR="004247DD" w:rsidRPr="004247DD" w:rsidRDefault="004247DD" w:rsidP="00A40408">
            <w:r w:rsidRPr="004247DD">
              <w:t xml:space="preserve">Oppervlakte </w:t>
            </w:r>
          </w:p>
        </w:tc>
        <w:tc>
          <w:tcPr>
            <w:tcW w:w="1536" w:type="dxa"/>
          </w:tcPr>
          <w:p w:rsidR="004247DD" w:rsidRPr="004247DD" w:rsidRDefault="004247DD" w:rsidP="00A40408">
            <w:r w:rsidRPr="004247DD">
              <w:t>Bevolkingsdichtheid</w:t>
            </w:r>
          </w:p>
        </w:tc>
      </w:tr>
      <w:tr w:rsidR="004247DD" w:rsidRPr="004247DD" w:rsidTr="004247DD">
        <w:tc>
          <w:tcPr>
            <w:tcW w:w="1535" w:type="dxa"/>
          </w:tcPr>
          <w:p w:rsidR="004247DD" w:rsidRPr="004247DD" w:rsidRDefault="004247DD" w:rsidP="00A40408">
            <w:r w:rsidRPr="004247DD">
              <w:t xml:space="preserve">1 </w:t>
            </w:r>
          </w:p>
        </w:tc>
        <w:tc>
          <w:tcPr>
            <w:tcW w:w="1535" w:type="dxa"/>
          </w:tcPr>
          <w:p w:rsidR="004247DD" w:rsidRPr="004247DD" w:rsidRDefault="004247DD" w:rsidP="00A40408">
            <w:r w:rsidRPr="004247DD">
              <w:t xml:space="preserve">Antwerpen </w:t>
            </w:r>
          </w:p>
        </w:tc>
        <w:tc>
          <w:tcPr>
            <w:tcW w:w="1535" w:type="dxa"/>
          </w:tcPr>
          <w:p w:rsidR="004247DD" w:rsidRPr="004247DD" w:rsidRDefault="004247DD" w:rsidP="00A40408">
            <w:r w:rsidRPr="004247DD">
              <w:t xml:space="preserve">Antwerpen </w:t>
            </w:r>
          </w:p>
        </w:tc>
        <w:tc>
          <w:tcPr>
            <w:tcW w:w="1535" w:type="dxa"/>
          </w:tcPr>
          <w:p w:rsidR="004247DD" w:rsidRPr="004247DD" w:rsidRDefault="004247DD" w:rsidP="00A40408">
            <w:r w:rsidRPr="004247DD">
              <w:t xml:space="preserve">1.715.707 </w:t>
            </w:r>
          </w:p>
        </w:tc>
        <w:tc>
          <w:tcPr>
            <w:tcW w:w="1536" w:type="dxa"/>
          </w:tcPr>
          <w:p w:rsidR="004247DD" w:rsidRPr="004247DD" w:rsidRDefault="004247DD" w:rsidP="00A40408">
            <w:r w:rsidRPr="004247DD">
              <w:t xml:space="preserve">2.867 </w:t>
            </w:r>
            <w:proofErr w:type="spellStart"/>
            <w:r w:rsidRPr="004247DD">
              <w:t>km²</w:t>
            </w:r>
            <w:proofErr w:type="spellEnd"/>
            <w:r w:rsidRPr="004247DD">
              <w:t xml:space="preserve"> </w:t>
            </w:r>
          </w:p>
        </w:tc>
        <w:tc>
          <w:tcPr>
            <w:tcW w:w="1536" w:type="dxa"/>
          </w:tcPr>
          <w:p w:rsidR="004247DD" w:rsidRPr="004247DD" w:rsidRDefault="004247DD" w:rsidP="00A40408">
            <w:r w:rsidRPr="004247DD">
              <w:t xml:space="preserve">587 / </w:t>
            </w:r>
            <w:proofErr w:type="spellStart"/>
            <w:r w:rsidRPr="004247DD">
              <w:t>km²</w:t>
            </w:r>
            <w:proofErr w:type="spellEnd"/>
          </w:p>
        </w:tc>
      </w:tr>
      <w:tr w:rsidR="004247DD" w:rsidRPr="004247DD" w:rsidTr="004247DD">
        <w:tc>
          <w:tcPr>
            <w:tcW w:w="1535" w:type="dxa"/>
          </w:tcPr>
          <w:p w:rsidR="004247DD" w:rsidRPr="004247DD" w:rsidRDefault="004247DD" w:rsidP="00A40408">
            <w:r w:rsidRPr="004247DD">
              <w:t xml:space="preserve">2 </w:t>
            </w:r>
          </w:p>
        </w:tc>
        <w:tc>
          <w:tcPr>
            <w:tcW w:w="1535" w:type="dxa"/>
          </w:tcPr>
          <w:p w:rsidR="004247DD" w:rsidRPr="004247DD" w:rsidRDefault="004247DD" w:rsidP="00A40408">
            <w:r w:rsidRPr="004247DD">
              <w:t xml:space="preserve">Limburg </w:t>
            </w:r>
          </w:p>
        </w:tc>
        <w:tc>
          <w:tcPr>
            <w:tcW w:w="1535" w:type="dxa"/>
          </w:tcPr>
          <w:p w:rsidR="004247DD" w:rsidRPr="004247DD" w:rsidRDefault="004247DD" w:rsidP="00A40408">
            <w:r w:rsidRPr="004247DD">
              <w:t xml:space="preserve">Hasselt </w:t>
            </w:r>
          </w:p>
        </w:tc>
        <w:tc>
          <w:tcPr>
            <w:tcW w:w="1535" w:type="dxa"/>
          </w:tcPr>
          <w:p w:rsidR="004247DD" w:rsidRPr="004247DD" w:rsidRDefault="004247DD" w:rsidP="00A40408">
            <w:r w:rsidRPr="004247DD">
              <w:t xml:space="preserve">826.690 </w:t>
            </w:r>
          </w:p>
        </w:tc>
        <w:tc>
          <w:tcPr>
            <w:tcW w:w="1536" w:type="dxa"/>
          </w:tcPr>
          <w:p w:rsidR="004247DD" w:rsidRPr="004247DD" w:rsidRDefault="004247DD" w:rsidP="00A40408">
            <w:r w:rsidRPr="004247DD">
              <w:t xml:space="preserve">2.414 </w:t>
            </w:r>
            <w:proofErr w:type="spellStart"/>
            <w:r w:rsidRPr="004247DD">
              <w:t>km²</w:t>
            </w:r>
            <w:proofErr w:type="spellEnd"/>
            <w:r w:rsidRPr="004247DD">
              <w:t xml:space="preserve"> </w:t>
            </w:r>
          </w:p>
        </w:tc>
        <w:tc>
          <w:tcPr>
            <w:tcW w:w="1536" w:type="dxa"/>
          </w:tcPr>
          <w:p w:rsidR="004247DD" w:rsidRPr="004247DD" w:rsidRDefault="004247DD" w:rsidP="00A40408">
            <w:r w:rsidRPr="004247DD">
              <w:t xml:space="preserve">333 / </w:t>
            </w:r>
            <w:proofErr w:type="spellStart"/>
            <w:r w:rsidRPr="004247DD">
              <w:t>km²</w:t>
            </w:r>
            <w:proofErr w:type="spellEnd"/>
          </w:p>
        </w:tc>
      </w:tr>
      <w:tr w:rsidR="004247DD" w:rsidRPr="004247DD" w:rsidTr="004247DD">
        <w:tc>
          <w:tcPr>
            <w:tcW w:w="1535" w:type="dxa"/>
          </w:tcPr>
          <w:p w:rsidR="004247DD" w:rsidRPr="004247DD" w:rsidRDefault="004247DD" w:rsidP="00A40408">
            <w:r w:rsidRPr="004247DD">
              <w:t xml:space="preserve">3 </w:t>
            </w:r>
          </w:p>
        </w:tc>
        <w:tc>
          <w:tcPr>
            <w:tcW w:w="1535" w:type="dxa"/>
          </w:tcPr>
          <w:p w:rsidR="004247DD" w:rsidRPr="004247DD" w:rsidRDefault="004247DD" w:rsidP="00A40408">
            <w:r w:rsidRPr="004247DD">
              <w:t xml:space="preserve">Oost-Vlaanderen </w:t>
            </w:r>
          </w:p>
        </w:tc>
        <w:tc>
          <w:tcPr>
            <w:tcW w:w="1535" w:type="dxa"/>
          </w:tcPr>
          <w:p w:rsidR="004247DD" w:rsidRPr="004247DD" w:rsidRDefault="004247DD" w:rsidP="00A40408">
            <w:r w:rsidRPr="004247DD">
              <w:t xml:space="preserve">Gent </w:t>
            </w:r>
          </w:p>
        </w:tc>
        <w:tc>
          <w:tcPr>
            <w:tcW w:w="1535" w:type="dxa"/>
          </w:tcPr>
          <w:p w:rsidR="004247DD" w:rsidRPr="004247DD" w:rsidRDefault="004247DD" w:rsidP="00A40408">
            <w:r w:rsidRPr="004247DD">
              <w:t xml:space="preserve">1.408.484 </w:t>
            </w:r>
          </w:p>
        </w:tc>
        <w:tc>
          <w:tcPr>
            <w:tcW w:w="1536" w:type="dxa"/>
          </w:tcPr>
          <w:p w:rsidR="004247DD" w:rsidRPr="004247DD" w:rsidRDefault="004247DD" w:rsidP="00A40408">
            <w:r w:rsidRPr="004247DD">
              <w:t xml:space="preserve">2.991 </w:t>
            </w:r>
            <w:proofErr w:type="spellStart"/>
            <w:r w:rsidRPr="004247DD">
              <w:t>km²</w:t>
            </w:r>
            <w:proofErr w:type="spellEnd"/>
            <w:r w:rsidRPr="004247DD">
              <w:t xml:space="preserve"> </w:t>
            </w:r>
          </w:p>
        </w:tc>
        <w:tc>
          <w:tcPr>
            <w:tcW w:w="1536" w:type="dxa"/>
          </w:tcPr>
          <w:p w:rsidR="004247DD" w:rsidRPr="004247DD" w:rsidRDefault="004247DD" w:rsidP="00A40408">
            <w:r w:rsidRPr="004247DD">
              <w:t xml:space="preserve">459 / </w:t>
            </w:r>
            <w:proofErr w:type="spellStart"/>
            <w:r w:rsidRPr="004247DD">
              <w:t>km²</w:t>
            </w:r>
            <w:proofErr w:type="spellEnd"/>
          </w:p>
        </w:tc>
      </w:tr>
      <w:tr w:rsidR="004247DD" w:rsidRPr="004247DD" w:rsidTr="004247DD">
        <w:tc>
          <w:tcPr>
            <w:tcW w:w="1535" w:type="dxa"/>
          </w:tcPr>
          <w:p w:rsidR="004247DD" w:rsidRPr="004247DD" w:rsidRDefault="004247DD" w:rsidP="00A40408">
            <w:r w:rsidRPr="004247DD">
              <w:t xml:space="preserve">4 </w:t>
            </w:r>
          </w:p>
        </w:tc>
        <w:tc>
          <w:tcPr>
            <w:tcW w:w="1535" w:type="dxa"/>
          </w:tcPr>
          <w:p w:rsidR="004247DD" w:rsidRPr="004247DD" w:rsidRDefault="004247DD" w:rsidP="00A40408">
            <w:r w:rsidRPr="004247DD">
              <w:t xml:space="preserve">Vlaams-Brabant </w:t>
            </w:r>
          </w:p>
        </w:tc>
        <w:tc>
          <w:tcPr>
            <w:tcW w:w="1535" w:type="dxa"/>
          </w:tcPr>
          <w:p w:rsidR="004247DD" w:rsidRPr="004247DD" w:rsidRDefault="004247DD" w:rsidP="00A40408">
            <w:r w:rsidRPr="004247DD">
              <w:t xml:space="preserve">Leuven </w:t>
            </w:r>
          </w:p>
        </w:tc>
        <w:tc>
          <w:tcPr>
            <w:tcW w:w="1535" w:type="dxa"/>
          </w:tcPr>
          <w:p w:rsidR="004247DD" w:rsidRPr="004247DD" w:rsidRDefault="004247DD" w:rsidP="00A40408">
            <w:r w:rsidRPr="004247DD">
              <w:t xml:space="preserve">1.060.232 </w:t>
            </w:r>
          </w:p>
        </w:tc>
        <w:tc>
          <w:tcPr>
            <w:tcW w:w="1536" w:type="dxa"/>
          </w:tcPr>
          <w:p w:rsidR="004247DD" w:rsidRPr="004247DD" w:rsidRDefault="004247DD" w:rsidP="00A40408">
            <w:r w:rsidRPr="004247DD">
              <w:t xml:space="preserve">2.106 </w:t>
            </w:r>
            <w:proofErr w:type="spellStart"/>
            <w:r w:rsidRPr="004247DD">
              <w:t>km²</w:t>
            </w:r>
            <w:proofErr w:type="spellEnd"/>
            <w:r w:rsidRPr="004247DD">
              <w:t xml:space="preserve"> </w:t>
            </w:r>
          </w:p>
        </w:tc>
        <w:tc>
          <w:tcPr>
            <w:tcW w:w="1536" w:type="dxa"/>
          </w:tcPr>
          <w:p w:rsidR="004247DD" w:rsidRPr="004247DD" w:rsidRDefault="004247DD" w:rsidP="00A40408">
            <w:r w:rsidRPr="004247DD">
              <w:t xml:space="preserve">493 / </w:t>
            </w:r>
            <w:proofErr w:type="spellStart"/>
            <w:r w:rsidRPr="004247DD">
              <w:t>km²</w:t>
            </w:r>
            <w:proofErr w:type="spellEnd"/>
          </w:p>
        </w:tc>
      </w:tr>
      <w:tr w:rsidR="004247DD" w:rsidRPr="004247DD" w:rsidTr="004247DD">
        <w:tc>
          <w:tcPr>
            <w:tcW w:w="1535" w:type="dxa"/>
          </w:tcPr>
          <w:p w:rsidR="004247DD" w:rsidRPr="004247DD" w:rsidRDefault="004247DD" w:rsidP="00A40408">
            <w:r w:rsidRPr="004247DD">
              <w:t xml:space="preserve">5 </w:t>
            </w:r>
          </w:p>
        </w:tc>
        <w:tc>
          <w:tcPr>
            <w:tcW w:w="1535" w:type="dxa"/>
          </w:tcPr>
          <w:p w:rsidR="004247DD" w:rsidRPr="004247DD" w:rsidRDefault="004247DD" w:rsidP="00A40408">
            <w:r w:rsidRPr="004247DD">
              <w:t xml:space="preserve">West-Vlaanderen </w:t>
            </w:r>
          </w:p>
        </w:tc>
        <w:tc>
          <w:tcPr>
            <w:tcW w:w="1535" w:type="dxa"/>
          </w:tcPr>
          <w:p w:rsidR="004247DD" w:rsidRPr="004247DD" w:rsidRDefault="004247DD" w:rsidP="00A40408">
            <w:r w:rsidRPr="004247DD">
              <w:t xml:space="preserve">Brugge </w:t>
            </w:r>
          </w:p>
        </w:tc>
        <w:tc>
          <w:tcPr>
            <w:tcW w:w="1535" w:type="dxa"/>
          </w:tcPr>
          <w:p w:rsidR="004247DD" w:rsidRPr="004247DD" w:rsidRDefault="004247DD" w:rsidP="00A40408">
            <w:r w:rsidRPr="004247DD">
              <w:t xml:space="preserve">1.150.487 </w:t>
            </w:r>
          </w:p>
        </w:tc>
        <w:tc>
          <w:tcPr>
            <w:tcW w:w="1536" w:type="dxa"/>
          </w:tcPr>
          <w:p w:rsidR="004247DD" w:rsidRPr="004247DD" w:rsidRDefault="004247DD" w:rsidP="00A40408">
            <w:r w:rsidRPr="004247DD">
              <w:t xml:space="preserve">3.125 </w:t>
            </w:r>
            <w:proofErr w:type="spellStart"/>
            <w:r w:rsidRPr="004247DD">
              <w:t>km²</w:t>
            </w:r>
            <w:proofErr w:type="spellEnd"/>
            <w:r w:rsidRPr="004247DD">
              <w:t xml:space="preserve"> </w:t>
            </w:r>
          </w:p>
        </w:tc>
        <w:tc>
          <w:tcPr>
            <w:tcW w:w="1536" w:type="dxa"/>
          </w:tcPr>
          <w:p w:rsidR="004247DD" w:rsidRPr="004247DD" w:rsidRDefault="004247DD" w:rsidP="00A40408">
            <w:r w:rsidRPr="004247DD">
              <w:t xml:space="preserve">362 / </w:t>
            </w:r>
            <w:proofErr w:type="spellStart"/>
            <w:r w:rsidRPr="004247DD">
              <w:t>km²</w:t>
            </w:r>
            <w:proofErr w:type="spellEnd"/>
          </w:p>
        </w:tc>
      </w:tr>
    </w:tbl>
    <w:p w:rsidR="004247DD" w:rsidRDefault="004247DD" w:rsidP="004247DD"/>
    <w:p w:rsidR="004247DD" w:rsidRDefault="004247DD" w:rsidP="004247DD">
      <w:r>
        <w:t>De Vlaamse Vervoermaatschappij "De Lijn" is verantwoordelijk voor het vervoer per bus en tram binnen het Vlaams Gewest. De NMBS verzorgt het treinverkeer in België; Het Vlaams Gewest beheert ook de gewestwegen in Vlaanderen.</w:t>
      </w:r>
    </w:p>
    <w:p w:rsidR="004247DD" w:rsidRDefault="004247DD" w:rsidP="004247DD">
      <w:pPr>
        <w:pStyle w:val="Heading2"/>
      </w:pPr>
      <w:r>
        <w:t>Tekst 2</w:t>
      </w:r>
    </w:p>
    <w:p w:rsidR="004247DD" w:rsidRDefault="00963247" w:rsidP="00963247">
      <w:pPr>
        <w:spacing w:after="240"/>
      </w:pPr>
      <w:r>
        <w:t xml:space="preserve">Federale Overheidsdienst (FOD) is de nieuwe naam voor de hervormde federale ministeries in België, ingevoerd door de eerste </w:t>
      </w:r>
      <w:proofErr w:type="spellStart"/>
      <w:r>
        <w:t>regering-Verhofstadt</w:t>
      </w:r>
      <w:proofErr w:type="spellEnd"/>
      <w:r>
        <w:t xml:space="preserve"> (1999-2003). De verantwoordelijke minister voor deze hervorming was Luc Van den Bossche, minister van ambtenarenzaken en modernisering van de openbare besturen. Het hervormingsplan werd uiteengezet in een nota van 16 februari 2000 met als titel "Naar een modernisering van de openbare besturen". Deze kreeg in de pers de bijnaam "</w:t>
      </w:r>
      <w:proofErr w:type="spellStart"/>
      <w:r>
        <w:t>Copernicus-nota</w:t>
      </w:r>
      <w:proofErr w:type="spellEnd"/>
      <w:r>
        <w:t>" en het plan werd dan ook "</w:t>
      </w:r>
      <w:proofErr w:type="spellStart"/>
      <w:r>
        <w:t>Copernicusplan</w:t>
      </w:r>
      <w:proofErr w:type="spellEnd"/>
      <w:r>
        <w:t>" genoemd. Met dit plan was het de bedoeling dat de (machtige) ministeriële kabinetten werden afgeslankt en afgeschaft, en dat de nadruk kwam te liggen op dienstverlening aan de burger.</w:t>
      </w:r>
    </w:p>
    <w:p w:rsidR="004247DD" w:rsidRDefault="00963247" w:rsidP="00963247">
      <w:pPr>
        <w:spacing w:after="240"/>
      </w:pPr>
      <w:proofErr w:type="gramStart"/>
      <w:r>
        <w:t xml:space="preserve">Er zijn vier "horizontale" </w:t>
      </w:r>
      <w:proofErr w:type="spellStart"/>
      <w:r>
        <w:t>FOD's</w:t>
      </w:r>
      <w:proofErr w:type="spellEnd"/>
      <w:r>
        <w:t xml:space="preserve">: één voor de diensten van de Eerste Minister (FOD Kanselarij van de Eerste Minister), en drie </w:t>
      </w:r>
      <w:proofErr w:type="spellStart"/>
      <w:r>
        <w:t>FOD's</w:t>
      </w:r>
      <w:proofErr w:type="spellEnd"/>
      <w:r>
        <w:t xml:space="preserve"> die diensten leveren voor de andere </w:t>
      </w:r>
      <w:proofErr w:type="spellStart"/>
      <w:r>
        <w:t>FOD's</w:t>
      </w:r>
      <w:proofErr w:type="spellEnd"/>
      <w:r>
        <w:t xml:space="preserve">: (FOD Personeel en Organisatie; FOD Budget en Beheerscontrole; FOD Informatie- en Communicatietechnologie). </w:t>
      </w:r>
      <w:proofErr w:type="gramEnd"/>
      <w:r>
        <w:t xml:space="preserve">De andere </w:t>
      </w:r>
      <w:proofErr w:type="spellStart"/>
      <w:r>
        <w:t>FOD's</w:t>
      </w:r>
      <w:proofErr w:type="spellEnd"/>
      <w:r>
        <w:t xml:space="preserve"> zijn "verticale" diensten die elk voor een specifiek beleidsdomein verantwoordelijk zijn, zoals Justitie, of Binnenlandse Zaken, of Mobiliteit en Vervoer. Het Ministerie van Landsverdediging is echter niet omgevormd tot FOD. In het "</w:t>
      </w:r>
      <w:proofErr w:type="spellStart"/>
      <w:r>
        <w:t>Copernicusplan</w:t>
      </w:r>
      <w:proofErr w:type="spellEnd"/>
      <w:r>
        <w:t xml:space="preserve">" werd uitgegaan van een </w:t>
      </w:r>
      <w:proofErr w:type="spellStart"/>
      <w:r>
        <w:t>één-op-één</w:t>
      </w:r>
      <w:proofErr w:type="spellEnd"/>
      <w:r>
        <w:t xml:space="preserve"> relatie tussen een minister en een FOD: dit wil zeggen elke FOD hing af van slechts één minister en elke minister is verantwoordelijk voor één FOD. Door de herverdeling van bevoegdheden in de regering </w:t>
      </w:r>
      <w:proofErr w:type="spellStart"/>
      <w:r>
        <w:t>Verhofstadt-II</w:t>
      </w:r>
      <w:proofErr w:type="spellEnd"/>
      <w:r>
        <w:t xml:space="preserve"> kon dit echter niet behouden blijven. </w:t>
      </w:r>
    </w:p>
    <w:p w:rsidR="004247DD" w:rsidRDefault="00963247" w:rsidP="00963247">
      <w:pPr>
        <w:spacing w:after="240"/>
      </w:pPr>
      <w:r>
        <w:t xml:space="preserve">Het </w:t>
      </w:r>
      <w:proofErr w:type="spellStart"/>
      <w:r>
        <w:t>Copernicusplan</w:t>
      </w:r>
      <w:proofErr w:type="spellEnd"/>
      <w:r>
        <w:t xml:space="preserve"> steunde op vier pijlers, namelijk een nieuwe structuur voor de overheidsdiensten; een nieuwe managementcultuur; een nieuw personeelsbeleid; nieuwe werkwijzen (moderniseringsprocessen). </w:t>
      </w:r>
    </w:p>
    <w:p w:rsidR="00963247" w:rsidRDefault="00963247" w:rsidP="00963247">
      <w:pPr>
        <w:spacing w:after="240"/>
      </w:pPr>
      <w:r>
        <w:t xml:space="preserve">De algemene structuur van de nieuwe federale overheidsdiensten werd vastgesteld bij Koninklijk Besluit van 7 november 2000. De traditionele ministeriële kabinetten werden afgeschaft. In elke FOD zijn drie belangrijke organen, namelijk de Beleidsraad; het Directiecomité en de Cel </w:t>
      </w:r>
      <w:r>
        <w:lastRenderedPageBreak/>
        <w:t xml:space="preserve">Beleidsvoorbereiding. De Beleidsraad is het verbindingsorgaan tussen de politieke overheid (de bevoegde minister en eventueel de staatssecretaris) en de administratie. De voornaamste taak van de Beleidsraad is: advies geven bij de totstandkoming van het strategisch plan van de minister en toezicht houden op de uitvoering daarvan door het Directiecomité. Het Directiecomité is belast met het </w:t>
      </w:r>
      <w:proofErr w:type="gramStart"/>
      <w:r>
        <w:t>dagelijks</w:t>
      </w:r>
      <w:proofErr w:type="gramEnd"/>
      <w:r>
        <w:t xml:space="preserve"> en operationeel beheer (het management) van de FOD, overeenkomstig het strategisch plan. De voorzitter van het Directiecomité is het hoofd van de federale overheidsdienst. De Cel Beleidsvoorbereiding ondersteunt de minister bij de voorbereiding van het beleid. Zij is samengesteld uit technici uit de diverse afdelingen van de FOD; de samenstelling wordt bepaald door de minister. Het hoofd van de Cel rapporteert rechtstreeks aan de minister. Deze rol van de Cel Beleidsvoorbereiding is verschillend van deze die oorspronkelijk in het K.B. van 7 november 2000 werd omschreven: oorspronkelijk was het de bedoeling dat de Cel Beleidsvoorbereiding ondersteuning zou geven aan de Beleidsraad en aan het Directiecomité, en dat het hoofd van de Cel rapporteren zou aan de voorzitter van het Directiecomité. Door deze wijziging, aangebracht door het K.B. van 19 juli 2003, verschuift de beleidsvoorbereidende rol dus van de FOD naar de minister. </w:t>
      </w:r>
    </w:p>
    <w:p w:rsidR="008D7049" w:rsidRDefault="008D7049" w:rsidP="00D06CA5">
      <w:pPr>
        <w:pStyle w:val="Heading1"/>
      </w:pPr>
      <w:r>
        <w:t>Pas dit document aan voor publicatie op het web:</w:t>
      </w:r>
    </w:p>
    <w:p w:rsidR="00D5752C" w:rsidRDefault="00D5752C" w:rsidP="00D06CA5">
      <w:pPr>
        <w:spacing w:after="240"/>
      </w:pPr>
      <w:r w:rsidRPr="00D5752C">
        <w:t xml:space="preserve">Brussel (Frans: </w:t>
      </w:r>
      <w:proofErr w:type="spellStart"/>
      <w:r w:rsidRPr="00D5752C">
        <w:t>Bruxelles</w:t>
      </w:r>
      <w:proofErr w:type="spellEnd"/>
      <w:r w:rsidRPr="00D5752C">
        <w:t xml:space="preserve">) is de hoofdstad van het Koninkrijk België en van de Vlaamse en Franse Gemeenschappen. Brussel heeft zoals veel andere Belgische steden een levendig uitgaansleven. Vele uitgaansgelegenheden liggen verspreid over de stad, maar in het centrum is vooral het gebied rond de Beurs en het </w:t>
      </w:r>
      <w:proofErr w:type="spellStart"/>
      <w:r w:rsidRPr="00D5752C">
        <w:t>Sint-Goriksplein</w:t>
      </w:r>
      <w:proofErr w:type="spellEnd"/>
      <w:r w:rsidRPr="00D5752C">
        <w:t xml:space="preserve"> bekend als uitgaansbuurt. Belangrijke zalen zijn de </w:t>
      </w:r>
      <w:proofErr w:type="spellStart"/>
      <w:r w:rsidRPr="00D5752C">
        <w:t>Ancienne</w:t>
      </w:r>
      <w:proofErr w:type="spellEnd"/>
      <w:r w:rsidRPr="00D5752C">
        <w:t xml:space="preserve"> </w:t>
      </w:r>
      <w:proofErr w:type="spellStart"/>
      <w:r w:rsidRPr="00D5752C">
        <w:t>Belgique</w:t>
      </w:r>
      <w:proofErr w:type="spellEnd"/>
      <w:r w:rsidRPr="00D5752C">
        <w:t xml:space="preserve">, de Munt, de Beursschouwburg en de KVS. Sinds 2005 heeft Brussel ook een casino. </w:t>
      </w:r>
    </w:p>
    <w:p w:rsidR="00D06CA5" w:rsidRDefault="00D06CA5" w:rsidP="00D06CA5">
      <w:pPr>
        <w:spacing w:after="240"/>
      </w:pPr>
      <w:r>
        <w:t xml:space="preserve">De </w:t>
      </w:r>
      <w:proofErr w:type="spellStart"/>
      <w:r>
        <w:t>Ancienne</w:t>
      </w:r>
      <w:proofErr w:type="spellEnd"/>
      <w:r>
        <w:t xml:space="preserve"> </w:t>
      </w:r>
      <w:proofErr w:type="spellStart"/>
      <w:r>
        <w:t>Belgique</w:t>
      </w:r>
      <w:proofErr w:type="spellEnd"/>
      <w:r>
        <w:t xml:space="preserve">, ook wel kortweg de AB genoemd, is een gebouw en concertzaal in Brussel, gelegen aan de </w:t>
      </w:r>
      <w:proofErr w:type="spellStart"/>
      <w:r>
        <w:t>Anspachlaan</w:t>
      </w:r>
      <w:proofErr w:type="spellEnd"/>
      <w:r>
        <w:t xml:space="preserve">. Het gebouw wordt beheerd door de gelijknamige vzw. Dit gebouw werd in 1857 een spektakelzaal en rond de jaren 1930 werd deze zaal zeer populair in het Brusselse nachtleven. Andere steden zoals Gent, Luik en Antwerpen hadden in die periode overigens ook hun </w:t>
      </w:r>
      <w:proofErr w:type="spellStart"/>
      <w:r>
        <w:t>Ancienne</w:t>
      </w:r>
      <w:proofErr w:type="spellEnd"/>
      <w:r>
        <w:t xml:space="preserve"> </w:t>
      </w:r>
      <w:proofErr w:type="spellStart"/>
      <w:r>
        <w:t>Belgique</w:t>
      </w:r>
      <w:proofErr w:type="spellEnd"/>
      <w:r>
        <w:t xml:space="preserve">, uitgebaat door dezelfde familie </w:t>
      </w:r>
      <w:proofErr w:type="spellStart"/>
      <w:r>
        <w:t>Mathonet</w:t>
      </w:r>
      <w:proofErr w:type="spellEnd"/>
      <w:r>
        <w:t xml:space="preserve">. Het theater in Antwerpen en Gent had officieel de naam "Oud België", maar de Franstalige naam werd ook in die steden veelvuldig gebruikt. Begin jaren 70 moest de zaal sluiten na jaren van verval. Hij werd gekocht door de Vlaamse Gemeenschap, en werd pas in 1980 weer geopend. Daarna volgde nog een volledige renovatie. Tegenwoordig wordt de zaal gebruikt voor concerten van lokale en internationale artiesten en groepen. Tegenwoordig wonen er jaarlijks </w:t>
      </w:r>
      <w:proofErr w:type="gramStart"/>
      <w:r>
        <w:t>zo'n</w:t>
      </w:r>
      <w:proofErr w:type="gramEnd"/>
      <w:r>
        <w:t xml:space="preserve"> 300.000 mensen een concert bij in de AB.</w:t>
      </w:r>
    </w:p>
    <w:p w:rsidR="00D06CA5" w:rsidRDefault="00D06CA5" w:rsidP="00D06CA5">
      <w:pPr>
        <w:spacing w:after="240"/>
      </w:pPr>
      <w:r>
        <w:t xml:space="preserve">De Koninklijke Muntschouwburg (Frans: </w:t>
      </w:r>
      <w:proofErr w:type="spellStart"/>
      <w:r>
        <w:t>Théâtre</w:t>
      </w:r>
      <w:proofErr w:type="spellEnd"/>
      <w:r>
        <w:t xml:space="preserve"> Royal de la </w:t>
      </w:r>
      <w:proofErr w:type="spellStart"/>
      <w:r>
        <w:t>Monnaie</w:t>
      </w:r>
      <w:proofErr w:type="spellEnd"/>
      <w:r>
        <w:t xml:space="preserve">) te Brussel, meestal kortweg De Munt genoemd, is een concertzaal voor opera, ballet en klassieke muziek. Zij staat aan het verkeersvrije Muntplein op het zuidelijke einde van de </w:t>
      </w:r>
      <w:proofErr w:type="spellStart"/>
      <w:r>
        <w:t>Nieuwstraat</w:t>
      </w:r>
      <w:proofErr w:type="spellEnd"/>
      <w:r>
        <w:t xml:space="preserve">. Geschiedenis. De huidige Muntschouwburg is niet de eerste zaal met deze naam; die werd in 1700 geopend op de plaats waar voorheen een muntslagerij stond, vandaar de naam "De </w:t>
      </w:r>
      <w:proofErr w:type="spellStart"/>
      <w:r>
        <w:t>Munte</w:t>
      </w:r>
      <w:proofErr w:type="spellEnd"/>
      <w:r>
        <w:t xml:space="preserve">". De architecten waren </w:t>
      </w:r>
      <w:proofErr w:type="spellStart"/>
      <w:r>
        <w:t>Paolo</w:t>
      </w:r>
      <w:proofErr w:type="spellEnd"/>
      <w:r>
        <w:t xml:space="preserve"> en </w:t>
      </w:r>
      <w:proofErr w:type="spellStart"/>
      <w:r>
        <w:t>Pietro</w:t>
      </w:r>
      <w:proofErr w:type="spellEnd"/>
      <w:r>
        <w:t xml:space="preserve"> </w:t>
      </w:r>
      <w:proofErr w:type="spellStart"/>
      <w:r>
        <w:t>Bezzi</w:t>
      </w:r>
      <w:proofErr w:type="spellEnd"/>
      <w:r>
        <w:t xml:space="preserve">. In het begin van de negentiende eeuw bouwden de Franse machthebbers een nieuw theater achter de eerste, bouwvallig geworden, schouwburg. Architect was de Fransman </w:t>
      </w:r>
      <w:proofErr w:type="spellStart"/>
      <w:r>
        <w:t>Louis-Emmanuel</w:t>
      </w:r>
      <w:proofErr w:type="spellEnd"/>
      <w:r>
        <w:t xml:space="preserve"> </w:t>
      </w:r>
      <w:proofErr w:type="spellStart"/>
      <w:r>
        <w:t>Aimé</w:t>
      </w:r>
      <w:proofErr w:type="spellEnd"/>
      <w:r>
        <w:t xml:space="preserve"> </w:t>
      </w:r>
      <w:proofErr w:type="spellStart"/>
      <w:r>
        <w:t>Damesme</w:t>
      </w:r>
      <w:proofErr w:type="spellEnd"/>
      <w:r>
        <w:t xml:space="preserve">. Na de val van Napoleon, werd het gebouw door het nieuwe bewind gewoon afgewerkt. Deze schouwburg werd in 1819 ingehuldigd. In 1830 werd er de opera "De Stomme van </w:t>
      </w:r>
      <w:proofErr w:type="spellStart"/>
      <w:r>
        <w:t>Portici</w:t>
      </w:r>
      <w:proofErr w:type="spellEnd"/>
      <w:r>
        <w:t xml:space="preserve">" van </w:t>
      </w:r>
      <w:proofErr w:type="spellStart"/>
      <w:r>
        <w:t>Auber</w:t>
      </w:r>
      <w:proofErr w:type="spellEnd"/>
      <w:r>
        <w:t xml:space="preserve"> opgevoerd, die een rol zou spelen in de Belgische onafhankelijkheidsstrijd. Tussen 1819 en 1855 werd het interieur van de opera meermaals volledig </w:t>
      </w:r>
      <w:r>
        <w:lastRenderedPageBreak/>
        <w:t xml:space="preserve">heringericht naar de smaak van de tijd, door architecten, decorateurs, zoals </w:t>
      </w:r>
      <w:proofErr w:type="spellStart"/>
      <w:r>
        <w:t>Séchan</w:t>
      </w:r>
      <w:proofErr w:type="spellEnd"/>
      <w:r>
        <w:t xml:space="preserve">, </w:t>
      </w:r>
      <w:proofErr w:type="spellStart"/>
      <w:r>
        <w:t>Gineste</w:t>
      </w:r>
      <w:proofErr w:type="spellEnd"/>
      <w:r>
        <w:t xml:space="preserve"> en </w:t>
      </w:r>
      <w:proofErr w:type="spellStart"/>
      <w:r>
        <w:t>Philastre</w:t>
      </w:r>
      <w:proofErr w:type="spellEnd"/>
      <w:r>
        <w:t>.</w:t>
      </w:r>
    </w:p>
    <w:p w:rsidR="00D06CA5" w:rsidRDefault="00D06CA5" w:rsidP="00D06CA5">
      <w:pPr>
        <w:spacing w:after="240"/>
      </w:pPr>
      <w:r>
        <w:t xml:space="preserve">De Beursschouwburg (Frans: </w:t>
      </w:r>
      <w:proofErr w:type="spellStart"/>
      <w:r>
        <w:t>Théâtre</w:t>
      </w:r>
      <w:proofErr w:type="spellEnd"/>
      <w:r>
        <w:t xml:space="preserve"> de la </w:t>
      </w:r>
      <w:proofErr w:type="spellStart"/>
      <w:r>
        <w:t>Bourse</w:t>
      </w:r>
      <w:proofErr w:type="spellEnd"/>
      <w:r>
        <w:t xml:space="preserve">) is een voormalige schouwburg voor theater en concerten, gelegen in het centrum van </w:t>
      </w:r>
      <w:proofErr w:type="spellStart"/>
      <w:r>
        <w:t>Brussel.In</w:t>
      </w:r>
      <w:proofErr w:type="spellEnd"/>
      <w:r>
        <w:t xml:space="preserve"> 1885 is het gebouw als winkel annex café annex feestzaal Brasserie </w:t>
      </w:r>
      <w:proofErr w:type="spellStart"/>
      <w:r>
        <w:t>flamande</w:t>
      </w:r>
      <w:proofErr w:type="spellEnd"/>
      <w:r>
        <w:t xml:space="preserve"> door eigenaar </w:t>
      </w:r>
      <w:proofErr w:type="spellStart"/>
      <w:r>
        <w:t>Walckiers</w:t>
      </w:r>
      <w:proofErr w:type="spellEnd"/>
      <w:r>
        <w:t xml:space="preserve"> opgericht. In 1947 werd de feestzaal verbouwd tot theaterzaal. In 1983 doet </w:t>
      </w:r>
      <w:proofErr w:type="spellStart"/>
      <w:r>
        <w:t>Walckiers</w:t>
      </w:r>
      <w:proofErr w:type="spellEnd"/>
      <w:r>
        <w:t xml:space="preserve"> het gebouw over aan de Vlaamse Gemeenschap. De gevel wordt gerenoveerd; verder gebeurt er niets en het gebouw verkrot. Wanneer het in 1998 in de steigers wordt gezet, </w:t>
      </w:r>
      <w:proofErr w:type="gramStart"/>
      <w:r>
        <w:t>verhuist</w:t>
      </w:r>
      <w:proofErr w:type="gramEnd"/>
      <w:r>
        <w:t xml:space="preserve"> het theater tijdelijk naar de Kazernestraat. In de periode tot aan 2004 is het gebouw ten slotte verbouwd tot cultureel centrum. In eerste instantie zou ook het jeugdtheater BRONKS[1] in de Beursschouwburg geïntegreerd worden. De ruimte bleek daarvoor echter te klein. BRONKS neemt wel deel aan enkele van de evenementen. </w:t>
      </w:r>
      <w:proofErr w:type="gramStart"/>
      <w:r>
        <w:t>Alhoewel</w:t>
      </w:r>
      <w:proofErr w:type="gramEnd"/>
      <w:r>
        <w:t xml:space="preserve"> de Beursschouwburg onder beheer staat van de Vlaamse Gemeenschapscommissie, vinden er tweetalige evenementen plaats. Vlaams Minister voor Brusselse Aangelegenheden Bert </w:t>
      </w:r>
      <w:proofErr w:type="spellStart"/>
      <w:r>
        <w:t>Anciaux</w:t>
      </w:r>
      <w:proofErr w:type="spellEnd"/>
      <w:r>
        <w:t xml:space="preserve"> heeft een onthaalbeleid ontvouwd dat de </w:t>
      </w:r>
      <w:proofErr w:type="spellStart"/>
      <w:r>
        <w:t>Franstaligen</w:t>
      </w:r>
      <w:proofErr w:type="spellEnd"/>
      <w:r>
        <w:t xml:space="preserve"> in Brussel moet uitnodigen kennis te komen nemen van de Nederlandstalige cultuur, om hun onbegrip weg te nemen. Dit blijkt te werken: 60% van de bezoekers is Franstalig en waardeert het Nederlandstalige cultuuraanbod zeer.[bron?] Het cultureel centrum heeft een reputatie [bron?] verworven als avant-gardetrekker. Zo zijn er exposities geweest van plastieken naast free jazzconcerten, jamsessies en experimentele muziek. De toegangsprijzen zijn laag gehouden om ook de lagere klassen te kunnen bereiken.</w:t>
      </w:r>
    </w:p>
    <w:p w:rsidR="00D06CA5" w:rsidRDefault="00D06CA5" w:rsidP="00D06CA5">
      <w:pPr>
        <w:spacing w:after="240"/>
      </w:pPr>
      <w:proofErr w:type="gramStart"/>
      <w:r w:rsidRPr="00D06CA5">
        <w:t xml:space="preserve">De Koninklijke Vlaamse Schouwburg (kortweg: KVS; in het Frans: </w:t>
      </w:r>
      <w:proofErr w:type="spellStart"/>
      <w:r w:rsidRPr="00D06CA5">
        <w:t>Théâtre</w:t>
      </w:r>
      <w:proofErr w:type="spellEnd"/>
      <w:r w:rsidRPr="00D06CA5">
        <w:t xml:space="preserve"> </w:t>
      </w:r>
      <w:proofErr w:type="spellStart"/>
      <w:r w:rsidRPr="00D06CA5">
        <w:t>royal</w:t>
      </w:r>
      <w:proofErr w:type="spellEnd"/>
      <w:r w:rsidRPr="00D06CA5">
        <w:t xml:space="preserve"> </w:t>
      </w:r>
      <w:proofErr w:type="spellStart"/>
      <w:r w:rsidRPr="00D06CA5">
        <w:t>flamand</w:t>
      </w:r>
      <w:proofErr w:type="spellEnd"/>
      <w:r w:rsidRPr="00D06CA5">
        <w:t xml:space="preserve">) is een schouwburg in Brussel. </w:t>
      </w:r>
      <w:proofErr w:type="gramEnd"/>
      <w:r w:rsidRPr="00D06CA5">
        <w:t>In dat gebouw speelt het theatergezelschap met dezelfde naam. De schouwburg brengt niet enkel klassiek nationaal en internationaal repertoire, maar ook meer eigentijdse expressievormen. Er is ook ruimte voor dans, dichtkunst, toonkunst en tijdelijke tentoonstellingen.</w:t>
      </w:r>
      <w:r>
        <w:t xml:space="preserve"> De reeks avondconcerten elektronische muziek heeft de Beursschouwburg een internationale bezoekerskring bezorgd. De Beursschouwburg is gelegen in het centrum van Brussel, aan de August </w:t>
      </w:r>
      <w:proofErr w:type="spellStart"/>
      <w:r>
        <w:t>Ortsstraat</w:t>
      </w:r>
      <w:proofErr w:type="spellEnd"/>
      <w:r>
        <w:t xml:space="preserve">. Aangrenzend is het Beurscafé gevestigd, dat de deuren opende op 14 september 2006. Algemeen directeur en artistiek leider </w:t>
      </w:r>
      <w:proofErr w:type="gramStart"/>
      <w:r>
        <w:t>is</w:t>
      </w:r>
      <w:proofErr w:type="gramEnd"/>
      <w:r>
        <w:t xml:space="preserve"> Cis </w:t>
      </w:r>
      <w:proofErr w:type="spellStart"/>
      <w:r>
        <w:t>Bierinckx</w:t>
      </w:r>
      <w:proofErr w:type="spellEnd"/>
      <w:r>
        <w:t>.</w:t>
      </w:r>
    </w:p>
    <w:sectPr w:rsidR="00D06CA5" w:rsidSect="00E07B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0268"/>
    <w:multiLevelType w:val="hybridMultilevel"/>
    <w:tmpl w:val="7E5641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00A0D9F"/>
    <w:multiLevelType w:val="hybridMultilevel"/>
    <w:tmpl w:val="6CCC6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9496999"/>
    <w:multiLevelType w:val="hybridMultilevel"/>
    <w:tmpl w:val="BFCCAB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23E5"/>
    <w:rsid w:val="00263C58"/>
    <w:rsid w:val="00295E8A"/>
    <w:rsid w:val="003A261F"/>
    <w:rsid w:val="004247DD"/>
    <w:rsid w:val="008D7049"/>
    <w:rsid w:val="00963247"/>
    <w:rsid w:val="009F23E5"/>
    <w:rsid w:val="00A17925"/>
    <w:rsid w:val="00BF7A42"/>
    <w:rsid w:val="00C60495"/>
    <w:rsid w:val="00D06CA5"/>
    <w:rsid w:val="00D5752C"/>
    <w:rsid w:val="00E07B03"/>
    <w:rsid w:val="00FE35E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03"/>
  </w:style>
  <w:style w:type="paragraph" w:styleId="Heading1">
    <w:name w:val="heading 1"/>
    <w:basedOn w:val="Normal"/>
    <w:next w:val="Normal"/>
    <w:link w:val="Heading1Char"/>
    <w:uiPriority w:val="9"/>
    <w:qFormat/>
    <w:rsid w:val="00963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7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E5"/>
    <w:pPr>
      <w:ind w:left="720"/>
      <w:contextualSpacing/>
    </w:pPr>
  </w:style>
  <w:style w:type="paragraph" w:customStyle="1" w:styleId="Default">
    <w:name w:val="Default"/>
    <w:rsid w:val="00A17925"/>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295E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E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5E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5E8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6324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24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47D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D7049"/>
    <w:rPr>
      <w:color w:val="0000FF"/>
      <w:u w:val="single"/>
    </w:rPr>
  </w:style>
</w:styles>
</file>

<file path=word/webSettings.xml><?xml version="1.0" encoding="utf-8"?>
<w:webSettings xmlns:r="http://schemas.openxmlformats.org/officeDocument/2006/relationships" xmlns:w="http://schemas.openxmlformats.org/wordprocessingml/2006/main">
  <w:divs>
    <w:div w:id="19362838">
      <w:bodyDiv w:val="1"/>
      <w:marLeft w:val="0"/>
      <w:marRight w:val="0"/>
      <w:marTop w:val="0"/>
      <w:marBottom w:val="0"/>
      <w:divBdr>
        <w:top w:val="none" w:sz="0" w:space="0" w:color="auto"/>
        <w:left w:val="none" w:sz="0" w:space="0" w:color="auto"/>
        <w:bottom w:val="none" w:sz="0" w:space="0" w:color="auto"/>
        <w:right w:val="none" w:sz="0" w:space="0" w:color="auto"/>
      </w:divBdr>
      <w:divsChild>
        <w:div w:id="511260739">
          <w:marLeft w:val="0"/>
          <w:marRight w:val="0"/>
          <w:marTop w:val="0"/>
          <w:marBottom w:val="0"/>
          <w:divBdr>
            <w:top w:val="none" w:sz="0" w:space="0" w:color="auto"/>
            <w:left w:val="none" w:sz="0" w:space="0" w:color="auto"/>
            <w:bottom w:val="none" w:sz="0" w:space="0" w:color="auto"/>
            <w:right w:val="none" w:sz="0" w:space="0" w:color="auto"/>
          </w:divBdr>
        </w:div>
      </w:divsChild>
    </w:div>
    <w:div w:id="479615173">
      <w:bodyDiv w:val="1"/>
      <w:marLeft w:val="0"/>
      <w:marRight w:val="0"/>
      <w:marTop w:val="0"/>
      <w:marBottom w:val="0"/>
      <w:divBdr>
        <w:top w:val="none" w:sz="0" w:space="0" w:color="auto"/>
        <w:left w:val="none" w:sz="0" w:space="0" w:color="auto"/>
        <w:bottom w:val="none" w:sz="0" w:space="0" w:color="auto"/>
        <w:right w:val="none" w:sz="0" w:space="0" w:color="auto"/>
      </w:divBdr>
    </w:div>
    <w:div w:id="753942804">
      <w:bodyDiv w:val="1"/>
      <w:marLeft w:val="0"/>
      <w:marRight w:val="0"/>
      <w:marTop w:val="0"/>
      <w:marBottom w:val="0"/>
      <w:divBdr>
        <w:top w:val="none" w:sz="0" w:space="0" w:color="auto"/>
        <w:left w:val="none" w:sz="0" w:space="0" w:color="auto"/>
        <w:bottom w:val="none" w:sz="0" w:space="0" w:color="auto"/>
        <w:right w:val="none" w:sz="0" w:space="0" w:color="auto"/>
      </w:divBdr>
    </w:div>
    <w:div w:id="856771579">
      <w:bodyDiv w:val="1"/>
      <w:marLeft w:val="0"/>
      <w:marRight w:val="0"/>
      <w:marTop w:val="0"/>
      <w:marBottom w:val="0"/>
      <w:divBdr>
        <w:top w:val="none" w:sz="0" w:space="0" w:color="auto"/>
        <w:left w:val="none" w:sz="0" w:space="0" w:color="auto"/>
        <w:bottom w:val="none" w:sz="0" w:space="0" w:color="auto"/>
        <w:right w:val="none" w:sz="0" w:space="0" w:color="auto"/>
      </w:divBdr>
    </w:div>
    <w:div w:id="1022514375">
      <w:bodyDiv w:val="1"/>
      <w:marLeft w:val="0"/>
      <w:marRight w:val="0"/>
      <w:marTop w:val="0"/>
      <w:marBottom w:val="0"/>
      <w:divBdr>
        <w:top w:val="none" w:sz="0" w:space="0" w:color="auto"/>
        <w:left w:val="none" w:sz="0" w:space="0" w:color="auto"/>
        <w:bottom w:val="none" w:sz="0" w:space="0" w:color="auto"/>
        <w:right w:val="none" w:sz="0" w:space="0" w:color="auto"/>
      </w:divBdr>
      <w:divsChild>
        <w:div w:id="525599434">
          <w:marLeft w:val="0"/>
          <w:marRight w:val="0"/>
          <w:marTop w:val="0"/>
          <w:marBottom w:val="0"/>
          <w:divBdr>
            <w:top w:val="none" w:sz="0" w:space="0" w:color="auto"/>
            <w:left w:val="none" w:sz="0" w:space="0" w:color="auto"/>
            <w:bottom w:val="none" w:sz="0" w:space="0" w:color="auto"/>
            <w:right w:val="none" w:sz="0" w:space="0" w:color="auto"/>
          </w:divBdr>
        </w:div>
      </w:divsChild>
    </w:div>
    <w:div w:id="1276248317">
      <w:bodyDiv w:val="1"/>
      <w:marLeft w:val="0"/>
      <w:marRight w:val="0"/>
      <w:marTop w:val="0"/>
      <w:marBottom w:val="0"/>
      <w:divBdr>
        <w:top w:val="none" w:sz="0" w:space="0" w:color="auto"/>
        <w:left w:val="none" w:sz="0" w:space="0" w:color="auto"/>
        <w:bottom w:val="none" w:sz="0" w:space="0" w:color="auto"/>
        <w:right w:val="none" w:sz="0" w:space="0" w:color="auto"/>
      </w:divBdr>
    </w:div>
    <w:div w:id="1407727867">
      <w:bodyDiv w:val="1"/>
      <w:marLeft w:val="0"/>
      <w:marRight w:val="0"/>
      <w:marTop w:val="0"/>
      <w:marBottom w:val="0"/>
      <w:divBdr>
        <w:top w:val="none" w:sz="0" w:space="0" w:color="auto"/>
        <w:left w:val="none" w:sz="0" w:space="0" w:color="auto"/>
        <w:bottom w:val="none" w:sz="0" w:space="0" w:color="auto"/>
        <w:right w:val="none" w:sz="0" w:space="0" w:color="auto"/>
      </w:divBdr>
    </w:div>
    <w:div w:id="1467817082">
      <w:bodyDiv w:val="1"/>
      <w:marLeft w:val="0"/>
      <w:marRight w:val="0"/>
      <w:marTop w:val="0"/>
      <w:marBottom w:val="0"/>
      <w:divBdr>
        <w:top w:val="none" w:sz="0" w:space="0" w:color="auto"/>
        <w:left w:val="none" w:sz="0" w:space="0" w:color="auto"/>
        <w:bottom w:val="none" w:sz="0" w:space="0" w:color="auto"/>
        <w:right w:val="none" w:sz="0" w:space="0" w:color="auto"/>
      </w:divBdr>
    </w:div>
    <w:div w:id="1802453201">
      <w:bodyDiv w:val="1"/>
      <w:marLeft w:val="0"/>
      <w:marRight w:val="0"/>
      <w:marTop w:val="0"/>
      <w:marBottom w:val="0"/>
      <w:divBdr>
        <w:top w:val="none" w:sz="0" w:space="0" w:color="auto"/>
        <w:left w:val="none" w:sz="0" w:space="0" w:color="auto"/>
        <w:bottom w:val="none" w:sz="0" w:space="0" w:color="auto"/>
        <w:right w:val="none" w:sz="0" w:space="0" w:color="auto"/>
      </w:divBdr>
      <w:divsChild>
        <w:div w:id="209095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ockholm" TargetMode="External"/><Relationship Id="rId13" Type="http://schemas.openxmlformats.org/officeDocument/2006/relationships/hyperlink" Target="http://en.wikipedia.org/wiki/History_of_Helsinki" TargetMode="External"/><Relationship Id="rId3" Type="http://schemas.openxmlformats.org/officeDocument/2006/relationships/settings" Target="settings.xml"/><Relationship Id="rId7" Type="http://schemas.openxmlformats.org/officeDocument/2006/relationships/hyperlink" Target="http://en.wikipedia.org/wiki/Estonia" TargetMode="External"/><Relationship Id="rId12" Type="http://schemas.openxmlformats.org/officeDocument/2006/relationships/hyperlink" Target="http://www.wdfwsd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allinn" TargetMode="External"/><Relationship Id="rId11" Type="http://schemas.openxmlformats.org/officeDocument/2006/relationships/hyperlink" Target="http://en.wikipedia.org/wiki/Russia" TargetMode="External"/><Relationship Id="rId5" Type="http://schemas.openxmlformats.org/officeDocument/2006/relationships/hyperlink" Target="http://www.wdfwsdf.com" TargetMode="External"/><Relationship Id="rId15" Type="http://schemas.openxmlformats.org/officeDocument/2006/relationships/theme" Target="theme/theme1.xml"/><Relationship Id="rId10" Type="http://schemas.openxmlformats.org/officeDocument/2006/relationships/hyperlink" Target="http://en.wikipedia.org/wiki/Saint_Petersburg" TargetMode="External"/><Relationship Id="rId4" Type="http://schemas.openxmlformats.org/officeDocument/2006/relationships/webSettings" Target="webSettings.xml"/><Relationship Id="rId9" Type="http://schemas.openxmlformats.org/officeDocument/2006/relationships/hyperlink" Target="http://en.wikipedia.org/wiki/Swe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2110</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Lessius hogeschool</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De Wachter</dc:creator>
  <cp:keywords/>
  <dc:description/>
  <cp:lastModifiedBy>Ken De Wachter</cp:lastModifiedBy>
  <cp:revision>3</cp:revision>
  <dcterms:created xsi:type="dcterms:W3CDTF">2012-08-17T09:31:00Z</dcterms:created>
  <dcterms:modified xsi:type="dcterms:W3CDTF">2012-08-20T04:45:00Z</dcterms:modified>
</cp:coreProperties>
</file>