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51" w:rsidRDefault="00D76651" w:rsidP="00D76651"/>
    <w:p w:rsidR="00A90A6C" w:rsidRDefault="00A90A6C" w:rsidP="00D76651">
      <w:pPr>
        <w:rPr>
          <w:b/>
        </w:rPr>
      </w:pPr>
      <w:r>
        <w:rPr>
          <w:noProof/>
          <w:lang w:eastAsia="nl-BE"/>
        </w:rPr>
        <w:drawing>
          <wp:inline distT="0" distB="0" distL="0" distR="0" wp14:anchorId="1E65CA94" wp14:editId="5E9FCE69">
            <wp:extent cx="3495675" cy="3254787"/>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496439" cy="3255498"/>
                    </a:xfrm>
                    <a:prstGeom prst="rect">
                      <a:avLst/>
                    </a:prstGeom>
                  </pic:spPr>
                </pic:pic>
              </a:graphicData>
            </a:graphic>
          </wp:inline>
        </w:drawing>
      </w:r>
      <w:bookmarkStart w:id="0" w:name="_GoBack"/>
      <w:bookmarkEnd w:id="0"/>
    </w:p>
    <w:p w:rsidR="00D76651" w:rsidRPr="00A90A6C" w:rsidRDefault="00D76651" w:rsidP="00D76651">
      <w:pPr>
        <w:rPr>
          <w:b/>
        </w:rPr>
      </w:pPr>
      <w:r w:rsidRPr="00A90A6C">
        <w:rPr>
          <w:b/>
        </w:rPr>
        <w:t>UITEENZETTING DOOR DE HEER KAREL DE VOS, DIRECTEUR JONGERENCENTRUM CIDAR</w:t>
      </w:r>
    </w:p>
    <w:p w:rsidR="00D76651" w:rsidRDefault="00D76651" w:rsidP="00D76651">
      <w:r>
        <w:t xml:space="preserve">De heer Karel De Vos: Ik zal een reflectie ontwikkelen over de praktijken waarmee ik te </w:t>
      </w:r>
      <w:r>
        <w:t xml:space="preserve"> </w:t>
      </w:r>
      <w:r>
        <w:t xml:space="preserve">maken heb. Vanuit dat perspectief zal ik trachten een aspect van de problematiek van de </w:t>
      </w:r>
      <w:r>
        <w:t xml:space="preserve"> </w:t>
      </w:r>
      <w:r>
        <w:t xml:space="preserve">instroom in de jeugdzorg te omschrijven. Ik rond af met een aantal suggesties voor het herdenken van de jeugdzorg als antwoord op problemen die zich vandaag met betrekking tot de zorg aandienen. In mijn tekst heb ik de zaak vrij uitvoerig uitgeschreven. Op de schets van de praktijken zal ik niet diep ingaan, zodat ik sneller kan overgaan tot het onderwerp. </w:t>
      </w:r>
    </w:p>
    <w:p w:rsidR="00D76651" w:rsidRPr="00A90A6C" w:rsidRDefault="00D76651" w:rsidP="00D76651">
      <w:pPr>
        <w:rPr>
          <w:b/>
        </w:rPr>
      </w:pPr>
      <w:r w:rsidRPr="00A90A6C">
        <w:rPr>
          <w:b/>
        </w:rPr>
        <w:t>1. Praktijkschets</w:t>
      </w:r>
    </w:p>
    <w:p w:rsidR="00D76651" w:rsidRDefault="00D76651" w:rsidP="00D76651">
      <w:r>
        <w:t xml:space="preserve">Ik ben directeur van een vzw die een OOOC beheert. Het is een voorziening met als formele opdracht jongeren opvangen en begeleiden in functie van het aanleveren van een diagnostiek aan verwijzers, rechtbanken en comités, en om te zorgen voor een oriëntatie. </w:t>
      </w:r>
    </w:p>
    <w:p w:rsidR="00D76651" w:rsidRDefault="00D76651" w:rsidP="00D76651">
      <w:r>
        <w:t xml:space="preserve">Daarnaast hebben we een thuisbegeleidingsdienst, De Vuurvogel, die gestart is als project in de bijzondere jeugdzorg. Van bij de aanvang heeft hij zich gericht op jongeren die in de carrousels van hulpverlening, en in het bijzonder van de </w:t>
      </w:r>
      <w:proofErr w:type="spellStart"/>
      <w:r>
        <w:t>hulpzorg</w:t>
      </w:r>
      <w:proofErr w:type="spellEnd"/>
      <w:r>
        <w:t xml:space="preserve"> in de bijzondere jeugdzorg, terechtkwamen. </w:t>
      </w:r>
    </w:p>
    <w:p w:rsidR="00D76651" w:rsidRDefault="00D76651" w:rsidP="00D76651">
      <w:r>
        <w:t xml:space="preserve">De bedoeling van die begeleidingsvorm is om vrij kort op de bal te spelen en met de jongeren en gezinnen verder te werken. Kenmerkend voor die werkvorm is dat we geen doelstelling vooraf formuleren. De begeleiding wordt onderweg uitgewerkt met die jongeren zelf. </w:t>
      </w:r>
    </w:p>
    <w:p w:rsidR="00D76651" w:rsidRDefault="00D76651" w:rsidP="00D76651">
      <w:r>
        <w:t xml:space="preserve">We hebben ook heel weinig voorwaarden om met die jongeren te werken. De enige min of meer formele voorwaarde is dat er een volwassene in de buurt is die zich wil engageren tegenover die jongere. Dat hoeft zelfs geen familie te zijn. </w:t>
      </w:r>
    </w:p>
    <w:p w:rsidR="00D76651" w:rsidRDefault="00D76651" w:rsidP="00D76651">
      <w:r>
        <w:lastRenderedPageBreak/>
        <w:t xml:space="preserve">Er is ook nog een project, dat formeel gezien buiten de bijzondere jeugdzorg staat, een time-outproject dat gericht is op jongeren met moeilijk verlopende schoolloopbanen. Typisch aan dat project is dat jongeren een </w:t>
      </w:r>
      <w:proofErr w:type="spellStart"/>
      <w:r>
        <w:t>schoolvervangend</w:t>
      </w:r>
      <w:proofErr w:type="spellEnd"/>
      <w:r>
        <w:t xml:space="preserve"> programma krijgen, maar ook dat er ondertussen verder onderhandeld wordt met scholen, ouders, eventueel met hulpverleners, om opnieuw aansluiting te vinden bij het onderwijs. De voorwaarde, zowel van Onderwijs als van Welzijn, is dat er bij het begin van een dergelijk traject een school is die zich engageert om na dat traject verder te werken.</w:t>
      </w:r>
    </w:p>
    <w:p w:rsidR="00D76651" w:rsidRDefault="00D76651" w:rsidP="00D76651">
      <w:r>
        <w:t xml:space="preserve">Naast die drie projecten die we zelf beheren, zijn we nauw betrokken bij het Netwerk Leerrecht in Vlaams-Brabant, dat ook nauw aansluit bij het time-outproject. Het is van start gegaan in 2006. Het richt zich tot jongeren die niet meer aankomen op school. De contactbreuk met de school is van die aard dat er geen engagementen meer zijn tussen school en jongere, of school en gezinnen. Het principe daarbij is dat we de contactbreuk niet echt decoderen als ‘het niet voldoen aan de leerplicht’, maar als ‘het niet toekomen aan leerrecht’. We proberen samen met de jongere, met de ouders, het CLB, eventueel met hulpverleners, te zoeken naar de feitelijke betekenis en te kijken naar plaatsen om tot leren te komen. We gaan ook kijken buiten de onderwijscircuits. Het gaat dan om leerplaatsen die gekozen worden op basis van aantrekkelijkheid, niet op basis van het profiel van de </w:t>
      </w:r>
    </w:p>
    <w:p w:rsidR="00D76651" w:rsidRDefault="00D76651" w:rsidP="00D76651">
      <w:r>
        <w:t>jongere. Het kan gaan om private bedrijfjes, stadsdiensten of vzw’s. Sommige initiatieven</w:t>
      </w:r>
      <w:r>
        <w:t xml:space="preserve"> </w:t>
      </w:r>
      <w:r>
        <w:t>worden ingericht door voorzieningen zelf voor het eigen cliënteel. In de initiatieven voor dagopvang van de voorzieningen komt ook een ander publiek terecht. Er ontstaat een mix die vrij interessant kan zijn.</w:t>
      </w:r>
    </w:p>
    <w:p w:rsidR="00D76651" w:rsidRDefault="00D76651" w:rsidP="00D76651">
      <w:r>
        <w:t xml:space="preserve">Het project Leerrecht wordt beheerd door verschillende vertegenwoordigers van verschillende </w:t>
      </w:r>
      <w:proofErr w:type="spellStart"/>
      <w:r>
        <w:t>ectoren</w:t>
      </w:r>
      <w:proofErr w:type="spellEnd"/>
      <w:r>
        <w:t xml:space="preserve"> uit de regio. Die besturen het ook. De financiering gebeurt door de provincie. De integrale jeugdhulp is zeer geïnteresseerd in het project. Ze heeft in </w:t>
      </w:r>
      <w:proofErr w:type="spellStart"/>
      <w:r>
        <w:t>HalleVilvoorde</w:t>
      </w:r>
      <w:proofErr w:type="spellEnd"/>
      <w:r>
        <w:t xml:space="preserve"> en Brussel een broertje gelanceerd, wel met tijdelijke middelen.</w:t>
      </w:r>
      <w:r>
        <w:t xml:space="preserve"> </w:t>
      </w:r>
    </w:p>
    <w:p w:rsidR="00D76651" w:rsidRPr="00A90A6C" w:rsidRDefault="00D76651" w:rsidP="00D76651">
      <w:pPr>
        <w:rPr>
          <w:b/>
        </w:rPr>
      </w:pPr>
      <w:r w:rsidRPr="00A90A6C">
        <w:rPr>
          <w:b/>
        </w:rPr>
        <w:t>2. Reflectie over deze praktijken</w:t>
      </w:r>
    </w:p>
    <w:p w:rsidR="00D76651" w:rsidRDefault="00D76651" w:rsidP="00D76651">
      <w:r>
        <w:t xml:space="preserve">Wat de praktijken met elkaar verbindt, is een verschuiving van hulpverleningsperspectieven van </w:t>
      </w:r>
      <w:r>
        <w:t>w</w:t>
      </w:r>
      <w:r>
        <w:t xml:space="preserve">aaruit we werken. Het gaat bij die verschuiving zowel over de </w:t>
      </w:r>
      <w:proofErr w:type="spellStart"/>
      <w:r>
        <w:t>probleemdefiniering</w:t>
      </w:r>
      <w:proofErr w:type="spellEnd"/>
      <w:r>
        <w:t xml:space="preserve"> – het begin van hulpverlening – als over de manier waarop we met engagementen </w:t>
      </w:r>
      <w:r>
        <w:t xml:space="preserve"> </w:t>
      </w:r>
      <w:r>
        <w:t xml:space="preserve">omgaan, waarop we settings inzetten. Wat ook gemeenschappelijk is aan de praktijken, is </w:t>
      </w:r>
      <w:r>
        <w:t xml:space="preserve"> </w:t>
      </w:r>
      <w:r>
        <w:t xml:space="preserve">dat we steeds meer de nadruk leggen op indirecte manieren van werken. We focussen niet </w:t>
      </w:r>
      <w:r>
        <w:t xml:space="preserve"> </w:t>
      </w:r>
      <w:r>
        <w:t xml:space="preserve">altijd op het probleem en het veranderen van personen. Wat ook verschuift in onze manier </w:t>
      </w:r>
      <w:r>
        <w:t xml:space="preserve"> </w:t>
      </w:r>
      <w:r>
        <w:t xml:space="preserve">van werken, is de inzet van de tijd. </w:t>
      </w:r>
    </w:p>
    <w:p w:rsidR="00D76651" w:rsidRPr="00A90A6C" w:rsidRDefault="00D76651" w:rsidP="00D76651">
      <w:pPr>
        <w:rPr>
          <w:b/>
          <w:i/>
        </w:rPr>
      </w:pPr>
      <w:r w:rsidRPr="00A90A6C">
        <w:rPr>
          <w:b/>
          <w:i/>
        </w:rPr>
        <w:t>2.1. Probleemdefiniëring</w:t>
      </w:r>
    </w:p>
    <w:p w:rsidR="00D76651" w:rsidRDefault="00D76651" w:rsidP="00D76651">
      <w:r>
        <w:t xml:space="preserve">In de praktijk verwijderen we ons van voorafgaande en externe probleemdefiniëringen. </w:t>
      </w:r>
      <w:r>
        <w:t xml:space="preserve"> </w:t>
      </w:r>
      <w:r>
        <w:t>Dat zijn de uitgangspunten van hulpverlening en zorg tot nu toe. We verwijderen ons van de uitgangspunten zoals die zijn uitgezet in de zorgcircuits. In de plaats daarvan proberen we jongeren, ouders en eventueel anderen, van bij de eerste contacten te betrekken bij de probleemdefiniëring. De eigen probleemdefiniëringen die sectoraal zijn bepaald, zetten we dan tussen haakjes. Dat impliceert dat de accenten tijdens de begeleiding gaandeweg kunnen wijzigen, en dat het begeleidingsproces zelf vrij grillig kan verlopen en onvoorspelbaar is.</w:t>
      </w:r>
      <w:r>
        <w:t xml:space="preserve"> </w:t>
      </w:r>
    </w:p>
    <w:p w:rsidR="00D76651" w:rsidRDefault="00D76651" w:rsidP="00D76651">
      <w:r>
        <w:t xml:space="preserve">Ik wil even stilstaan bij die voorafgaande en externe probleemdefiniëringen. Aan de basis van de sectorale verdelingen in de jeugdhulpverlening liggen vooraf gegeven probleemdefiniëringen. Ik geef </w:t>
      </w:r>
      <w:r>
        <w:lastRenderedPageBreak/>
        <w:t xml:space="preserve">een paar voorbeelden. In de bijzondere jeugdzorg is de vooraf gegeven probleemdefiniëring dat ervan wordt uitgegaan dat opvoedingsproblemen aan de basis liggen van gedragsstoornissen, of andere stoornissen en criminaliteit. Dat is een concept dat zeer diep in de bijzondere jeugdzorg zit ingebakken. De gehandicaptenzorg gaat ervan uit dat het de beperkingen van de persoon zijn die aan de basis liggen van problemen die zich kunnen voordoen in het samenleven met die persoon. In de geestelijke gezondheidszorg </w:t>
      </w:r>
      <w:r>
        <w:t xml:space="preserve"> </w:t>
      </w:r>
      <w:r>
        <w:t xml:space="preserve">gaat het over de mentale ongezondheid die problemen verklaart en die het interventiekader van de geestelijke gezondheidszorg bepaalt. Dat is het referentiepunt. In het algemeen </w:t>
      </w:r>
      <w:r>
        <w:t xml:space="preserve"> </w:t>
      </w:r>
      <w:r>
        <w:t>welzijnswerk zijn het veeleer de kenmerken van doelgroepen die het referentiekader voor hulpverlening bieden.</w:t>
      </w:r>
      <w:r>
        <w:t xml:space="preserve"> </w:t>
      </w:r>
      <w:r>
        <w:t xml:space="preserve">Binnen die afbakeningen, dat is de kern van de sectorale, externe </w:t>
      </w:r>
      <w:r>
        <w:t>p</w:t>
      </w:r>
      <w:r>
        <w:t xml:space="preserve">robleemdefiniëringen, vinden er met de tijd steeds verdere verfijningen plaats. Die zijn steeds meer gericht op het vaststellen van problematische kenmerken van personen, dus van de jongere of van de ouders. Dat is de tendens die zich mettertijd doorzet. Die verfijningen hebben een dubbel </w:t>
      </w:r>
      <w:r>
        <w:t xml:space="preserve"> </w:t>
      </w:r>
      <w:r>
        <w:t>effect. Enerzijds wordt het cliënteel gehomogeniseerd. Er worden homogene identiteiten op geplakt. Dat leidt echter ook tot een verdere fragmentering in de zorg. Dat zijn dus twee bewegingen die tegelijkertijd gebeuren.</w:t>
      </w:r>
      <w:r>
        <w:t xml:space="preserve"> </w:t>
      </w:r>
    </w:p>
    <w:p w:rsidR="00D76651" w:rsidRDefault="00D76651" w:rsidP="00D76651">
      <w:r>
        <w:t xml:space="preserve">Met homogenisering bedoel ik dat de hulpverlening methodes gaat ontwikkelen die zich richten op het typerende kenmerken van cliënteel. Daar wordt dan een typerende zorg aan gekoppeld. De hulpverlening richt zich dan op het isoleren en wegwerken van die problematische kenmerken die op hun beurt de ankers zijn voor de vorming van professionele identiteiten. Vanuit dit perspectief is de integrale jeugdzorg een zeer eerbare poging om de negatieve effecten van die fragmenteringen te overstijgen. We hebben daar echter ook een beetje kritiek op. In de manier waarop de samenwerking wordt geconcretiseerd in de integrale jeugdhulp, wordt die fragmentering van de zorg nog eens bevestigd. Dat vinden wij een probleem omdat de integratie van de zorg opgevat wordt als een seriële combinatie van fragmenten van zorg, een combinatie van modules die zelf ook drager zijn van de homogeniserende en fragmenterende manier van het kijken naar zorg. </w:t>
      </w:r>
    </w:p>
    <w:p w:rsidR="00D76651" w:rsidRDefault="00D76651" w:rsidP="00D76651">
      <w:r>
        <w:t xml:space="preserve">Voor wat er gebeurt in de omgang tussen professionals en cliënten, impliceren de externe </w:t>
      </w:r>
      <w:r>
        <w:t xml:space="preserve"> </w:t>
      </w:r>
      <w:r>
        <w:t xml:space="preserve">probleemdefiniëringen dat ze altijd opnieuw leiden tot een splitsing tussen ‘zij’, het cliënteel, en ‘wij’, de hulpverleners en de aangepaste burgers. ‘Zij’ zijn diegenen met problemen </w:t>
      </w:r>
      <w:r>
        <w:t xml:space="preserve"> </w:t>
      </w:r>
      <w:r>
        <w:t xml:space="preserve">of kenmerken waar ‘wij’ niet onder lijden. ‘Zij’ zijn ook diegenen die op eigen kracht niet kunnen worden zoals ‘wij’. Van cliënten wordt verwacht dat ze zich herkennen in die probleemdefiniëringen als voorwaarde om geholpen te kunnen worden. Ze moeten zich daar ook aan onderwerpen, wat nog eens ‘zij’ en ‘wij’ bevestigt. </w:t>
      </w:r>
    </w:p>
    <w:p w:rsidR="00D76651" w:rsidRDefault="00D76651" w:rsidP="00D76651">
      <w:r>
        <w:t xml:space="preserve">Indien cliënten niet ingaan op die impliciete of soms expliciete voorwaarden tot hulpverlening, dan lopen ze het risico dat het wordt vertaald als onwil of als te wijten aan een of ander kenmerk dat over het hoofd is gezien. Voor ons is het heel duidelijk dat deze dynamiek meespeelt in de carrousels van verzwaring van interventie en dat het ook steeds vaker leidt tot een beroep op gesloten opvang. </w:t>
      </w:r>
    </w:p>
    <w:p w:rsidR="00D76651" w:rsidRPr="00A90A6C" w:rsidRDefault="00D76651" w:rsidP="00D76651">
      <w:pPr>
        <w:rPr>
          <w:b/>
          <w:i/>
        </w:rPr>
      </w:pPr>
      <w:r w:rsidRPr="00A90A6C">
        <w:rPr>
          <w:b/>
          <w:i/>
        </w:rPr>
        <w:t>2.2. Engagementen</w:t>
      </w:r>
    </w:p>
    <w:p w:rsidR="00D76651" w:rsidRDefault="00D76651" w:rsidP="00D76651">
      <w:r>
        <w:t xml:space="preserve">We verschuiven ook in het thema van engagementen. Hulpverlening alleen maar vestigen op een andere manier van probleemdefiniëring, is op zich niet genoeg. Uit onze praktijken hebben we ook geleerd dat een accentverschuiving in probleemdefiniëring bijna automatisch gepaard gaat met verscherpte aandacht van de professionals voor het aangaan van engagementen en het zoeken naar </w:t>
      </w:r>
      <w:r>
        <w:lastRenderedPageBreak/>
        <w:t xml:space="preserve">waar engagementen te vinden zijn, in plaats van eenzijdig te focussen op het zoeken naar de juiste of goede oplossing van een probleem. </w:t>
      </w:r>
    </w:p>
    <w:p w:rsidR="00D76651" w:rsidRDefault="00D76651" w:rsidP="00D76651">
      <w:r>
        <w:t>In de praktijken die ik net heb geschetst, wordt het zoeken naar plaatsen en methoden om de problemen op te lossen, gecorrigeerd. Ik zeg niet meer dat we het niet meer doen, maar we corrigeren het in alle geval. Als je alleen maar zoekt naar plaatsen en methoden om problemen op te lossen, dan mondt het vaak uit in de zeer ontnuchterende vaststelling dat de juiste plaats of de juiste methode niet beschikbaar is of dat jongeren en ouders niet kunnen voldoen aan de regimevoorwaarden van voorzieningen, wat dan weer leidt tot uitsluiting van mogelijkheid tot hulp of ondersteuning.</w:t>
      </w:r>
    </w:p>
    <w:p w:rsidR="00D76651" w:rsidRDefault="00D76651" w:rsidP="00D76651">
      <w:r>
        <w:t xml:space="preserve">Op zoek gaan naar engagementen en de concrete voorwaarden creëren waaronder die engagementen kunnen worden gehouden, heeft een directe impact op de begeleidings- en ondersteuningskansen van jongeren en hun gezinnen. </w:t>
      </w:r>
    </w:p>
    <w:p w:rsidR="00D76651" w:rsidRDefault="00D76651" w:rsidP="00D76651">
      <w:r>
        <w:t>Ik zal dat illustreren met een paar voorbeelden. We doen enkele begeleidingen in het kader van de knelpuntendossiers van integrale jeugdhulp. Dat is een aparte procedure om vastlopende dossiers tussen gehandicaptenzorg en jeugdzorg te deblokkeren. Die zijn gebonden aan een aantal</w:t>
      </w:r>
      <w:r>
        <w:t xml:space="preserve"> </w:t>
      </w:r>
      <w:r>
        <w:t>voorwaarden. Een van de voorwaarden is dat zo’n procedure kan worden opgestart vanuit de gemeenschapsinstelling. Ze kan ook worden opgestart vanuit de gehandicaptenzorg, maar er moet ergens in de geschiedenis van de knelpuntendossiers een link zijn die in integrale jeugdhulp vertaald wordt als een gebrek aan combinatie van expertises. Ik vind die begeleiding interessant om aan te tonen wat het wil zeggen als je de aandacht verlegt naar het aangaan van engagementen in plaats van het zoeken naar de juiste oplossing.</w:t>
      </w:r>
    </w:p>
    <w:p w:rsidR="00D76651" w:rsidRDefault="00D76651" w:rsidP="00D76651">
      <w:r>
        <w:t>In een van die knelpuntdossiers had de reguliere hulpverlening zich volledig vast gereden, door in dezelfde beweging een jongere buiten te zetten wegens agressie, en zich tegelijk te verzetten tegen de mogelijkheid dat de jongere thuis zou verblijven, met het argument dat de ouders over onvoldoende pedagogische draagkracht zouden beschikken om voor hun kind te zorgen. Je krijgt dus een professioneel onderbouwde uitspraak die zegt dat een kind niet op zijn plaats is in de voorziening, maar dat het ook niet naar huis mag omdat het pedagogische milieu er niet goed is.</w:t>
      </w:r>
    </w:p>
    <w:p w:rsidR="00D76651" w:rsidRDefault="00D76651" w:rsidP="00D76651">
      <w:r>
        <w:t xml:space="preserve">We zijn toen vertrokken van de bereidheid van een van de ouders om toch voor dat kind te zorgen. We hebben die ouder, die zelf in een problematische situatie zat, materieel ondersteund met aanwezigheid, met feedback en met inzet van manuren. Dat was maar mogelijk door af te stappen van het idee van de ideale zorg in de professionele hulp. De ideale zorg was in dat geval dat er een zware behandelingsunit zou worden aangesproken en dat het uitgesloten was dat het kind verder zou worden opgevoed in het thuismilieu. Het komt erop neer dat de georganiseerde hulp zich in die uitspraak </w:t>
      </w:r>
      <w:proofErr w:type="spellStart"/>
      <w:r>
        <w:t>desengageert</w:t>
      </w:r>
      <w:proofErr w:type="spellEnd"/>
      <w:r>
        <w:t xml:space="preserve"> ten aanzien van een kind in een concrete situatie.</w:t>
      </w:r>
    </w:p>
    <w:p w:rsidR="00D76651" w:rsidRDefault="00D76651" w:rsidP="00D76651">
      <w:r>
        <w:t xml:space="preserve">Een ander dossier kan dat ook illustreren en kan een ander aspect van het engagementsverhaal duidelijk maken. De jongere in kwestie moet een ankerpunt krijgen in een residentie. Daarover is iedereen het eens. Het probleem is echter dat de residenties in de buurt dat niet goed zien zitten omdat de jongere niet past in het profiel en omdat de kans groot is dat hij regelmatig gaat lopen, ook al heeft hij de gewoonte om altijd terug te komen. In het overleg wordt nu aan de voorzieningen gevraagd om af te stappen van hun regime en het geweer van schouder te veranderen. Dat wil zeggen: goede zorg niet definiëren als zorg waarbij de jongere blijft, maar als zorg waardoor de </w:t>
      </w:r>
      <w:r>
        <w:lastRenderedPageBreak/>
        <w:t>jongere kan terugkomen als hij weggaat. Dat is natuurlijk iets wat voorzieningen in conflict brengt met hun erkenningsvoorwaarden en een aantal kwaliteitsnormen. Bij dergelijke onderhandelingen rijst de vraag wie er zich op welke manier wil engageren.</w:t>
      </w:r>
    </w:p>
    <w:p w:rsidR="00D76651" w:rsidRDefault="00D76651" w:rsidP="00D76651">
      <w:r>
        <w:t>Door die verschuiving vervluchtigt ook het ‘bijzondere’ van de bijzondere jeugdzorg. De bijzondere jeugdzorg wordt ‘gewoon’, omdat opvoeding en ondersteuning bij opvoeding voor iedereen een kwestie is van engagementen, die een ondersteuning door de gemeenschap behoeven. Dat geldt niet alleen voor jongeren die in de problemen komen, dat is voor iedereen zo.</w:t>
      </w:r>
    </w:p>
    <w:p w:rsidR="00D76651" w:rsidRDefault="00D76651" w:rsidP="00D76651">
      <w:r>
        <w:t>Met de probleemdefiniëring wordt dan onderzocht welke belemmeringen er zijn om engagementen leefbaar te houden, bijvoorbeeld bij die moeder die toch nog voor haar kind wou zorgen. We onderzoeken ook welke ondersteuning die engagementen behoeven – eventueel met inzet van maatschappelijke hulpbronnen – en welke engagementen haalbaar en realiseerbaar zijn. Op dat punt stappen wij af van het idee dat goede zorg moet beantwoorden aan een ideaal. We willen gaan naar wat mogelijk is in de realiteit. Het kantelpunt is het zoeken naar die engagementen.</w:t>
      </w:r>
    </w:p>
    <w:p w:rsidR="00D76651" w:rsidRDefault="00D76651" w:rsidP="00D76651">
      <w:r>
        <w:t xml:space="preserve">Die logica is niet zozeer gebaseerd op voorafgaande voorwaarden, maar op een zeer algemeen en voor iedereen geldend recht op maatschappelijke dienstverlening. De bijzondere jeugdzorg is dan niet langer een stelsel dat zich richt op een afwijkend ‘zij’, een ‘zij’ dat niet is zoals ‘wij’. De jeugdzorg wordt dan een stelsel dat geënt is op een algemeen en onvoorwaardelijk recht op de inzet van maatschappelijke hulpbronnen, om de opvoedings- en </w:t>
      </w:r>
      <w:proofErr w:type="spellStart"/>
      <w:r>
        <w:t>leefvoorwaarden</w:t>
      </w:r>
      <w:proofErr w:type="spellEnd"/>
      <w:r>
        <w:t xml:space="preserve"> van kinderen, jongeren en ouders te ondersteunen, zodat ze een menswaardig bestaan kunnen leiden. Het ‘zij’ wordt op dat moment ook een ‘wij’. De juridische grondslag daarvoor bestaat al. Die zit in artikel 23 van de Grondwet: de sociale grondrechten in België.</w:t>
      </w:r>
    </w:p>
    <w:p w:rsidR="00D76651" w:rsidRDefault="00D76651" w:rsidP="00D76651">
      <w:r>
        <w:t>Door dat te doen, veranderen we ook de inherente boodschap van hulp ten aanzien van de jongeren en hun ouders. Tot vandaag is de inherente boodschap van hulp dat er geïntervenieerd wordt omdat men als persoon of als opvoedingsverantwoordelijke afwijkt van een norm. Door de focus te verleggen op die engagementen ontstaat er een andere inherente boodschap. Die luidt dan dat er geïntervenieerd wordt omdat iedereen onvoorwaardelijk recht heeft op solidariteit van de gemeenschap, om de zeer eenvoudige reden dat niemand</w:t>
      </w:r>
      <w:r>
        <w:t xml:space="preserve"> </w:t>
      </w:r>
      <w:r>
        <w:t xml:space="preserve">buiten de inzet van de gemeenschap kan om op een waardige manier te kunnen samenleven. Dat is het uitgangspunt en de inherente </w:t>
      </w:r>
      <w:r>
        <w:t>b</w:t>
      </w:r>
      <w:r>
        <w:t>oodschap op dat moment.</w:t>
      </w:r>
    </w:p>
    <w:p w:rsidR="00D76651" w:rsidRPr="00A90A6C" w:rsidRDefault="00D76651" w:rsidP="00D76651">
      <w:pPr>
        <w:rPr>
          <w:b/>
          <w:i/>
        </w:rPr>
      </w:pPr>
      <w:r w:rsidRPr="00A90A6C">
        <w:rPr>
          <w:b/>
          <w:i/>
        </w:rPr>
        <w:t>2.3. Arrangementen</w:t>
      </w:r>
    </w:p>
    <w:p w:rsidR="00D76651" w:rsidRDefault="00D76651" w:rsidP="00D76651">
      <w:r>
        <w:t>Wat ook verandert, is de manier waarop we met settings of arrangementen omgaan. Dat gaat gepaard met een wijzigend begrip van professionaliteit. In de geschetste verschuiving verschijnt de professional veel minder als expert in het oplossen van problemen of in het wegwerken en behandelen van kenmerken, maar eerder als aanbieder van arrangementen die het mogelijk maken dat die gemeenschappelijke probleemdefiniëringen tot stand komen. Dat gaat niet vanzelf. Je moet settings maken waarin dat tot stand kan komen en waarin ook de verbinding met de vraag naar die engagementen tot stand kan komen. Die arrangementen kunnen heel verschillend zijn, omdat ze moeten inspelen op heel diverse situaties en leefomstandigheden. De vakbekwaamheid van professionals bestaat erin die arrangementen te ontwikkelen en mogelijk te maken.</w:t>
      </w:r>
    </w:p>
    <w:p w:rsidR="00D76651" w:rsidRDefault="00D76651" w:rsidP="00D76651">
      <w:r>
        <w:lastRenderedPageBreak/>
        <w:t xml:space="preserve">Het effect daarvan is dat hulpverlening een activiteit wordt die per definitie te maken krijgt met diversiteit van personen en situaties, en die zowel de professionals als het </w:t>
      </w:r>
      <w:r>
        <w:t>cliënteel</w:t>
      </w:r>
      <w:r>
        <w:t xml:space="preserve"> voor de gemeenschappelijke opdracht plaatsen om die diversiteit te leren zien en er ook mee te leren omgaan. Dat is iets dat telkens opnieuw moet worden geleerd, ook door de professionals.</w:t>
      </w:r>
    </w:p>
    <w:p w:rsidR="00D76651" w:rsidRDefault="00D76651" w:rsidP="00D76651">
      <w:r>
        <w:t>Het is niet op voorhand te bepalen waar hulpverlening eindigt. In een aantal gevallen wordt dat gemeenschappelijk bepaald. In dat opzicht kun je hulpverlening vergelijken met opvoeding. Leren opvoeden is een wezenlijk aspect van opvoeden. Dat kan maar in zeer concrete opvoedingssituaties. Je kunt niet leren opvoeden door externe definities van wat goede opvoeding zou zijn toe te passen. Zo is het ook bij hulpverlening.</w:t>
      </w:r>
    </w:p>
    <w:p w:rsidR="00D76651" w:rsidRDefault="00D76651" w:rsidP="00D76651">
      <w:r>
        <w:t xml:space="preserve">Er is een verscheidenheid aan arrangementen en settings. Dat is productief. Er moet tegelijk worden ingezet op formele en informele settings. De </w:t>
      </w:r>
      <w:proofErr w:type="spellStart"/>
      <w:r>
        <w:t>rondetafel</w:t>
      </w:r>
      <w:proofErr w:type="spellEnd"/>
      <w:r>
        <w:t xml:space="preserve"> is een van de formele arrangementen die wij vaak inzetten. Op deze bijeenkomsten kunnen alle betrokkenen in elkaars aanwezigheid van op verschillende posities nadenken om tot een probleemdefiniëring te komen, met betrekking tot het verloop en de verwachtingen van de hulpverlening. In zekere zin zijn de </w:t>
      </w:r>
      <w:proofErr w:type="spellStart"/>
      <w:r>
        <w:t>rondetafels</w:t>
      </w:r>
      <w:proofErr w:type="spellEnd"/>
      <w:r>
        <w:t xml:space="preserve"> de instelling van deze manier van hulpverlenen. Het verschil met een gewone instelling is dat deze instelling gebaseerd is op het delen of het maken van definities. Instellingen en voorzieningen zijn gebaseerd op gemaakte definities.</w:t>
      </w:r>
    </w:p>
    <w:p w:rsidR="00D76651" w:rsidRDefault="00D76651" w:rsidP="00D76651">
      <w:r>
        <w:t xml:space="preserve">Onze ervaring is dat deze formele arrangementen of settings niet werkbaar zijn als ze niet onderbouwd zijn, als er geen mogelijkheid is om terug te plooien op of te putten uit gedeelde ervaringen met professionals in verschillende situaties. De weg naar die formele bijeenkomsten is al even belangrijk als die formele bijeenkomsten zelf. </w:t>
      </w:r>
    </w:p>
    <w:p w:rsidR="00D76651" w:rsidRPr="00A90A6C" w:rsidRDefault="00D76651" w:rsidP="00D76651">
      <w:pPr>
        <w:rPr>
          <w:b/>
          <w:i/>
        </w:rPr>
      </w:pPr>
      <w:r w:rsidRPr="00A90A6C">
        <w:rPr>
          <w:b/>
          <w:i/>
        </w:rPr>
        <w:t>2.4. Onrechtstreeks werken</w:t>
      </w:r>
    </w:p>
    <w:p w:rsidR="00D76651" w:rsidRPr="00D76651" w:rsidRDefault="00D76651" w:rsidP="00D76651">
      <w:pPr>
        <w:rPr>
          <w:lang w:val="en-US"/>
        </w:rPr>
      </w:pPr>
      <w:r>
        <w:t xml:space="preserve">Wij hechten steeds meer belang aan onrechtstreekse manieren van werken. Daarmee </w:t>
      </w:r>
      <w:r>
        <w:t xml:space="preserve"> </w:t>
      </w:r>
      <w:r>
        <w:t xml:space="preserve">bedoel ik manieren van omgaan met cliënteel die niet gebaseerd zijn op het probleem of de problemen van jongeren of gezinnen, en waarbij de mogelijkheden gecreëerd worden om op een niet-rationele of niet-cerebrale manier de splitsingen tussen het ‘wij’ en het ‘zij’ te doorkruisen. Dat kan op heel verschillende manieren. Een van de manieren die we hiervoor ontwikkeld hebben is de ‘projectwerking’. Begeleiders maken iets met jongeren: een film, kunstachtige voorwerpen, montages enzovoort. Dit wordt aan een publiek voorgesteld. Zo krijg je een mix van personen, zonder dat dit moet worden gekoppeld aan probleemdrager of probleemoplosser. </w:t>
      </w:r>
    </w:p>
    <w:p w:rsidR="00D76651" w:rsidRPr="00A90A6C" w:rsidRDefault="00D76651" w:rsidP="00D76651">
      <w:pPr>
        <w:rPr>
          <w:b/>
          <w:i/>
        </w:rPr>
      </w:pPr>
      <w:r w:rsidRPr="00A90A6C">
        <w:rPr>
          <w:b/>
          <w:i/>
        </w:rPr>
        <w:t>2.5. Tijd</w:t>
      </w:r>
    </w:p>
    <w:p w:rsidR="00D76651" w:rsidRDefault="00D76651" w:rsidP="00D76651">
      <w:r>
        <w:t xml:space="preserve">Een laatste belangrijk aspect waarin we verschuiven, is in de omgang met de tijd. Daar komen we in spanning met de erkenningsvoorwaarden. De manier van werken die we ontwikkelen, impliceert dat we aanvaarden dat tijd niet gestandaardiseerd kan worden – wat altijd gebeurt. Er zijn versnellingen en vertragingen. Begeleidingen verschillen onderling van duur. De ontwikkeling van engagementen is niet enkel afhankelijk van uitingen van goede wil. Het is niet omdat iemand verklaart dat hij zich al dan niet engageert dat het besef van wat een engagement belemmert of ondersteunt er zomaar is. Dit soort besef ontstaat vaak pas in een achterafbeweging die ontsnapt aan </w:t>
      </w:r>
      <w:proofErr w:type="spellStart"/>
      <w:r>
        <w:t>wilgestuurde</w:t>
      </w:r>
      <w:proofErr w:type="spellEnd"/>
      <w:r>
        <w:t xml:space="preserve"> rationaliseringen</w:t>
      </w:r>
      <w:r>
        <w:t>.</w:t>
      </w:r>
    </w:p>
    <w:p w:rsidR="00D76651" w:rsidRDefault="00D76651" w:rsidP="00D76651">
      <w:r>
        <w:lastRenderedPageBreak/>
        <w:t>Men kan dat ook niet uitzetten in de tijd. Je kunt niet zeggen dat het er tegen dan of dan moet zijn. Er ontsnapt iets aan de tijd als meting. Op dit vlak stoten we op een spanning met de erkenningsvoorwaarden en de ideeën over goede hulpverlening die daaraan inherent zijn. Goede hulpverlening wordt vandaag gezien als efficiënte en effectieve hulpverlening. Tijd verschijnt in dit beeld als een lineair gegeven, iets meetbaars waarin ook een norm zit voor goede hulpverlening. Die norm bestaat er dan in dat vooraf gedefinieerde doelen gerealiseerd zouden moeten zijn binnen een vooraf bepaalde tijd. Daar verwijderen we ons van.</w:t>
      </w:r>
    </w:p>
    <w:p w:rsidR="00D76651" w:rsidRPr="00A90A6C" w:rsidRDefault="00D76651" w:rsidP="00D76651">
      <w:pPr>
        <w:rPr>
          <w:b/>
        </w:rPr>
      </w:pPr>
      <w:r w:rsidRPr="00A90A6C">
        <w:rPr>
          <w:b/>
        </w:rPr>
        <w:t>3. Verband met de instroom in de jeugdzorg</w:t>
      </w:r>
    </w:p>
    <w:p w:rsidR="00D76651" w:rsidRDefault="00D76651" w:rsidP="00D76651">
      <w:r>
        <w:t xml:space="preserve">Ik breng dit in verband met het probleem dat opnieuw wordt geformuleerd met betrekking tot de instroom in de jeugdhulp. Onze ervaringen en de reflecties die wij hierover in onze praktijken ontwikkelen, bevatten argumenten om te stellen dat het problematiseren van de instroom in de jeugdhulp gepaard moet gaan met het problematiseren van de uitgangspunten van de jeugdhulp en van de manieren waarop professionele hulpverlening zich manifesteert: als een steeds breder wordende stroom van specialisten in een stroom van specialismen en van disciplines. Dat zijn evengoed grenzen aan de reikwijdte van de engagementen van die specialisten. De voorafgaande probleemdefiniëringen die aan de basis liggen van de opsplitsing van de jeugdhulp in sectoren, leidt binnen de sectoren tot een steeds verder uitdijende fragmentering van interventies en interventiegronden, of van redenen waarom er kan worden ingegrepen. Die hebben met elkaar gemeen dat ze de persoonskenmerken steeds nadrukkelijker isoleren als verklaring voor problemen die zich in het samenleven voordoen. </w:t>
      </w:r>
    </w:p>
    <w:p w:rsidR="00D76651" w:rsidRDefault="00D76651" w:rsidP="00D76651">
      <w:r>
        <w:t xml:space="preserve">Op die manier wordt hulpverlening niet enkel inflatoir – er is nooit genoeg van – maar ook vervreemdend. Ondersteuning en hulp kunnen in die logica maar ingezet worden voor zover het cliënteel zich onderwerpt aan die voorafgaande definiëringen. De kans dat er in het contact met hulpverleners miskenningen van de ervaringswereld van het cliënteel sluipen, is dan ook zeer groot. Dit leidt vaak tot zeer pijnlijke misverstanden. Hulpverleners gaan er veel te gemakkelijk van uit dat hun in de logica van de sector bepaalde </w:t>
      </w:r>
      <w:proofErr w:type="spellStart"/>
      <w:r>
        <w:t>decoderingen</w:t>
      </w:r>
      <w:proofErr w:type="spellEnd"/>
      <w:r>
        <w:t xml:space="preserve"> van de problemen van het cliënteel, gedeelde </w:t>
      </w:r>
      <w:proofErr w:type="spellStart"/>
      <w:r>
        <w:t>decoderingen</w:t>
      </w:r>
      <w:proofErr w:type="spellEnd"/>
      <w:r>
        <w:t xml:space="preserve"> zouden zijn. Maar dat is een misverstand. Als dat blijkt, en het wordt duidelijk dat het cliënteel daarin niet meegaat, wordt dit gemakkelijk gezien als demotivatie van het cliënteel. Dat kan leiden tot het </w:t>
      </w:r>
      <w:proofErr w:type="spellStart"/>
      <w:r>
        <w:t>desengagement</w:t>
      </w:r>
      <w:proofErr w:type="spellEnd"/>
      <w:r>
        <w:t xml:space="preserve"> van de hulpverlening of tot de verzwaring van interventies. In heel de problematiek van de instroom moet dit in overweging worden genomen.</w:t>
      </w:r>
    </w:p>
    <w:p w:rsidR="00D76651" w:rsidRPr="00A90A6C" w:rsidRDefault="00D76651" w:rsidP="00D76651">
      <w:pPr>
        <w:rPr>
          <w:b/>
        </w:rPr>
      </w:pPr>
      <w:r w:rsidRPr="00A90A6C">
        <w:rPr>
          <w:b/>
        </w:rPr>
        <w:t>4. Enkele suggesties</w:t>
      </w:r>
    </w:p>
    <w:p w:rsidR="00D76651" w:rsidRDefault="00D76651" w:rsidP="00D76651">
      <w:r>
        <w:t xml:space="preserve">Uit het voorgaande blijkt duidelijk dat wij ons aansluiten bij de stemmen die erop aandringen de </w:t>
      </w:r>
      <w:r>
        <w:t>z</w:t>
      </w:r>
      <w:r>
        <w:t xml:space="preserve">org, en dus ook de jeugdzorg, anders te overdenken en op andere uitgangspunten te baseren dan vandaag het geval is. </w:t>
      </w:r>
    </w:p>
    <w:p w:rsidR="00D76651" w:rsidRPr="00D76651" w:rsidRDefault="00D76651" w:rsidP="00A90A6C">
      <w:pPr>
        <w:rPr>
          <w:lang w:val="en-US"/>
        </w:rPr>
      </w:pPr>
      <w:r>
        <w:t>Een centraal thema is de probleemdefinitie. Hoe komt die definitie tot stand? Wie is daarbij betrokken? Wat zijn de implicaties en de veronderstellingen?</w:t>
      </w:r>
    </w:p>
    <w:p w:rsidR="00D76651" w:rsidRDefault="00D76651" w:rsidP="00D76651">
      <w:r>
        <w:t xml:space="preserve">Een tweede thema is de aandacht voor engagement, en voor de inzet van hulpbronnen van de gemeenschap om die engagementen waar te maken. </w:t>
      </w:r>
    </w:p>
    <w:p w:rsidR="00D76651" w:rsidRDefault="00D76651" w:rsidP="00D76651">
      <w:r>
        <w:lastRenderedPageBreak/>
        <w:t>Een derde thema is het vakmanschap van de professional. We moeten op een andere manier over professionaliteit nadenken. De professionaliteit moet zich meer tot vakmanschap richten. Het gaat niet echt om de toepassing van een theorie die is geleerd. Dit moet in interactie kunnen gebeuren.</w:t>
      </w:r>
    </w:p>
    <w:p w:rsidR="00D76651" w:rsidRDefault="00D76651" w:rsidP="00D76651">
      <w:r>
        <w:t>Het laatste aspect is de inzet van tijd in de hulpverlening. Dit impliceert dat tijd niet zozeer als een efficiëntiecriterium moet worden beschouwd. Het gaat om een ruimte waarin de reële effecten van hulp en ondersteuning duidelijk zichtbaar kunnen worden.</w:t>
      </w:r>
    </w:p>
    <w:p w:rsidR="00D76651" w:rsidRDefault="00D76651" w:rsidP="00D76651">
      <w:r>
        <w:t>We zijn er ons van bewust dat onze benadering afwijkt van de hoofdstroom in de hulpverlening en in de problematisering. Dit roept natuurlijk de vraag op hoe we dit kunnen verantwoorden. De vraag naar de verantwoordbaarheid van hulpverleningspraktijken verandert van perspectief en van uitgangspunt. Het lijkt me, zeker gezien de investeringen door de gemeenschap, noodzakelijk dat alles wat we doen verantwoordbaar is.</w:t>
      </w:r>
    </w:p>
    <w:p w:rsidR="00D76651" w:rsidRDefault="00D76651" w:rsidP="00D76651">
      <w:r>
        <w:t xml:space="preserve">Het accent dat we willen leggen, houdt in dat de zorgpraktijken in reflecties worden verantwoord. We moeten veeleer nadenken over de reële effecten van concrete hulp dan over manieren om de zorgpraktijken aan de huidige idealen te laten beantwoorden. Momenteel gaat het om het </w:t>
      </w:r>
      <w:proofErr w:type="spellStart"/>
      <w:r>
        <w:t>performantie</w:t>
      </w:r>
      <w:proofErr w:type="spellEnd"/>
      <w:r>
        <w:t>-ideaal dat zich in efficiëntie- en effectiviteitsmetingen uit.</w:t>
      </w:r>
    </w:p>
    <w:p w:rsidR="00D76651" w:rsidRDefault="00D76651" w:rsidP="00D76651">
      <w:r>
        <w:t>Om de publieke dimensie van een reflectieve verantwoording waar te maken, kunnen in gemengde groepen denkoefeningen over de reële effecten van de hulpverlening worden georganiseerd. Die gemengde groepen moeten dan bestaan uit professionals, cliënten, wetenschappers en beleidsverantwoordelijken.</w:t>
      </w:r>
    </w:p>
    <w:p w:rsidR="00E14826" w:rsidRDefault="00D76651" w:rsidP="00D76651">
      <w:r>
        <w:t>Dit laatste gebeurt op het terrein eigenlijk al. Ik haal de formulering uit een Nederlands onderzoek. De onderzoekster, mevrouw Jeanette Pols, heeft zelf soortgelijke activiteiten opgezet in psychiatrische ziekenhuizen die met langdurige zieken werken. De reflecties richten zich niet tot de zorgidealen, die in de erkenningsvoorwaarden en de kwaliteitsnormen zijn verankerd, maar tot de reële effecten van de zorg. Zo kan een basis voor de blijvende ontwikkeling van goede zorgverlening worden geboden. Die ontwikkeling is immers nooit afgelopen. We weten dat elke zorgverlening de drager van dubbelzinnigheden en onvoorspelbaarheden blijft</w:t>
      </w:r>
    </w:p>
    <w:sectPr w:rsidR="00E148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E5"/>
    <w:rsid w:val="002D21E5"/>
    <w:rsid w:val="00796095"/>
    <w:rsid w:val="00A90A6C"/>
    <w:rsid w:val="00B72E5D"/>
    <w:rsid w:val="00D766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D21E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21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D21E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21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2452</TotalTime>
  <Pages>8</Pages>
  <Words>3808</Words>
  <Characters>20945</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24704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cp:revision>
  <cp:lastPrinted>2011-07-27T08:16:00Z</cp:lastPrinted>
  <dcterms:created xsi:type="dcterms:W3CDTF">2011-07-25T14:10:00Z</dcterms:created>
  <dcterms:modified xsi:type="dcterms:W3CDTF">2011-07-27T08:17:00Z</dcterms:modified>
</cp:coreProperties>
</file>